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5D" w:rsidRPr="000C672E" w:rsidRDefault="009A2E5D" w:rsidP="009A2E5D">
      <w:pPr>
        <w:tabs>
          <w:tab w:val="left" w:pos="0"/>
        </w:tabs>
        <w:adjustRightInd w:val="0"/>
        <w:snapToGrid w:val="0"/>
        <w:spacing w:line="480" w:lineRule="auto"/>
        <w:ind w:right="-1080"/>
        <w:rPr>
          <w:rFonts w:eastAsia="MS Mincho"/>
          <w:lang w:val="en-GB" w:eastAsia="ja-JP"/>
        </w:rPr>
      </w:pPr>
    </w:p>
    <w:p w:rsidR="009A2E5D" w:rsidRPr="000C672E" w:rsidRDefault="009A2E5D" w:rsidP="009A2E5D">
      <w:pPr>
        <w:tabs>
          <w:tab w:val="left" w:pos="0"/>
        </w:tabs>
        <w:adjustRightInd w:val="0"/>
        <w:snapToGrid w:val="0"/>
        <w:spacing w:line="480" w:lineRule="auto"/>
        <w:ind w:right="-1080"/>
        <w:rPr>
          <w:rFonts w:ascii="(Tipo di carattere testo asiati" w:hAnsi="(Tipo di carattere testo asiati"/>
          <w:b/>
          <w:bCs/>
          <w:caps/>
          <w:lang w:bidi="fa-IR"/>
        </w:rPr>
      </w:pPr>
      <w:r w:rsidRPr="000C672E">
        <w:rPr>
          <w:rFonts w:ascii="(Tipo di carattere testo asiati" w:hAnsi="(Tipo di carattere testo asiati"/>
          <w:b/>
          <w:bCs/>
          <w:caps/>
          <w:lang w:bidi="fa-IR"/>
        </w:rPr>
        <w:t>Appendix: Analytical methods and protocols</w:t>
      </w:r>
    </w:p>
    <w:p w:rsidR="009A2E5D" w:rsidRPr="000C672E" w:rsidRDefault="009A2E5D" w:rsidP="009A2E5D">
      <w:pPr>
        <w:tabs>
          <w:tab w:val="left" w:pos="0"/>
        </w:tabs>
        <w:adjustRightInd w:val="0"/>
        <w:snapToGrid w:val="0"/>
        <w:spacing w:line="480" w:lineRule="auto"/>
        <w:ind w:right="-1080" w:firstLine="360"/>
        <w:rPr>
          <w:lang w:bidi="fa-IR"/>
        </w:rPr>
      </w:pPr>
    </w:p>
    <w:p w:rsidR="009A2E5D" w:rsidRPr="000C672E" w:rsidRDefault="009A2E5D" w:rsidP="009A2E5D">
      <w:pPr>
        <w:tabs>
          <w:tab w:val="left" w:pos="0"/>
        </w:tabs>
        <w:autoSpaceDE w:val="0"/>
        <w:autoSpaceDN w:val="0"/>
        <w:adjustRightInd w:val="0"/>
        <w:snapToGrid w:val="0"/>
        <w:spacing w:line="480" w:lineRule="auto"/>
        <w:ind w:right="-153"/>
        <w:jc w:val="both"/>
        <w:rPr>
          <w:b/>
          <w:lang w:val="en-GB"/>
        </w:rPr>
      </w:pPr>
      <w:r w:rsidRPr="000C672E">
        <w:rPr>
          <w:b/>
          <w:lang w:val="en-GB"/>
        </w:rPr>
        <w:t>Mineral chemistry</w:t>
      </w:r>
    </w:p>
    <w:p w:rsidR="009A2E5D" w:rsidRPr="000C672E" w:rsidRDefault="009A2E5D" w:rsidP="009A2E5D">
      <w:pPr>
        <w:tabs>
          <w:tab w:val="left" w:pos="0"/>
        </w:tabs>
        <w:autoSpaceDE w:val="0"/>
        <w:autoSpaceDN w:val="0"/>
        <w:adjustRightInd w:val="0"/>
        <w:snapToGrid w:val="0"/>
        <w:spacing w:line="480" w:lineRule="auto"/>
        <w:ind w:right="-153" w:firstLine="360"/>
        <w:jc w:val="both"/>
      </w:pPr>
      <w:r w:rsidRPr="000C672E">
        <w:t xml:space="preserve">Mineral compositional data were obtained using a </w:t>
      </w:r>
      <w:proofErr w:type="spellStart"/>
      <w:r w:rsidRPr="000C672E">
        <w:t>Camebax</w:t>
      </w:r>
      <w:proofErr w:type="spellEnd"/>
      <w:r w:rsidRPr="000C672E">
        <w:t xml:space="preserve"> SX100 electron microprobe at the </w:t>
      </w:r>
      <w:proofErr w:type="spellStart"/>
      <w:r w:rsidRPr="000C672E">
        <w:t>Institut</w:t>
      </w:r>
      <w:proofErr w:type="spellEnd"/>
      <w:r w:rsidRPr="000C672E">
        <w:t xml:space="preserve"> </w:t>
      </w:r>
      <w:proofErr w:type="spellStart"/>
      <w:r w:rsidRPr="000C672E">
        <w:t>für</w:t>
      </w:r>
      <w:proofErr w:type="spellEnd"/>
      <w:r w:rsidRPr="000C672E">
        <w:t xml:space="preserve"> </w:t>
      </w:r>
      <w:proofErr w:type="spellStart"/>
      <w:r w:rsidRPr="000C672E">
        <w:t>Mineralogie</w:t>
      </w:r>
      <w:proofErr w:type="spellEnd"/>
      <w:r w:rsidRPr="000C672E">
        <w:t xml:space="preserve">, </w:t>
      </w:r>
      <w:proofErr w:type="spellStart"/>
      <w:r w:rsidRPr="000C672E">
        <w:t>Universität</w:t>
      </w:r>
      <w:proofErr w:type="spellEnd"/>
      <w:r w:rsidRPr="000C672E">
        <w:t xml:space="preserve"> Stuttgart. Operating conditions were 15 kV and a 15 </w:t>
      </w:r>
      <w:proofErr w:type="spellStart"/>
      <w:r w:rsidRPr="000C672E">
        <w:t>nA</w:t>
      </w:r>
      <w:proofErr w:type="spellEnd"/>
      <w:r w:rsidRPr="000C672E">
        <w:t xml:space="preserve"> beam current (WDS mode). Mineral compositions were determined relative to natural and synthetic standards. Spot sizes were 1-10 </w:t>
      </w:r>
      <w:r w:rsidRPr="000C672E">
        <w:rPr>
          <w:rFonts w:ascii="Symbol" w:hAnsi="Symbol"/>
        </w:rPr>
        <w:t></w:t>
      </w:r>
      <w:r w:rsidRPr="000C672E">
        <w:t xml:space="preserve">m depending on the phases </w:t>
      </w:r>
      <w:proofErr w:type="spellStart"/>
      <w:r w:rsidRPr="000C672E">
        <w:t>analysed</w:t>
      </w:r>
      <w:proofErr w:type="spellEnd"/>
      <w:r w:rsidRPr="000C672E">
        <w:t xml:space="preserve">. Concentration maps for major elements (Ca, Fe, </w:t>
      </w:r>
      <w:proofErr w:type="spellStart"/>
      <w:r w:rsidRPr="000C672E">
        <w:t>Mn</w:t>
      </w:r>
      <w:proofErr w:type="spellEnd"/>
      <w:r w:rsidRPr="000C672E">
        <w:t xml:space="preserve">, Mg and Al or Na) were also produced by stepwise movements of the thin sections under the electron beam; counting times per step were 100 </w:t>
      </w:r>
      <w:proofErr w:type="spellStart"/>
      <w:r w:rsidRPr="000C672E">
        <w:t>ms.</w:t>
      </w:r>
      <w:proofErr w:type="spellEnd"/>
      <w:r w:rsidRPr="000C672E">
        <w:t xml:space="preserve"> BSE imaging was obtained by using the same electron microprobe. Operating conditions were: 15 kV and 20 </w:t>
      </w:r>
      <w:proofErr w:type="spellStart"/>
      <w:r w:rsidRPr="000C672E">
        <w:t>nA.</w:t>
      </w:r>
      <w:proofErr w:type="spellEnd"/>
      <w:r w:rsidRPr="000C672E">
        <w:t xml:space="preserve">  Classification of amphibole with the general formula AB</w:t>
      </w:r>
      <w:r w:rsidRPr="000C672E">
        <w:rPr>
          <w:vertAlign w:val="subscript"/>
        </w:rPr>
        <w:t>2</w:t>
      </w:r>
      <w:r w:rsidRPr="000C672E">
        <w:t>C</w:t>
      </w:r>
      <w:r w:rsidRPr="000C672E">
        <w:rPr>
          <w:vertAlign w:val="subscript"/>
        </w:rPr>
        <w:t>5</w:t>
      </w:r>
      <w:r w:rsidRPr="000C672E">
        <w:t>T</w:t>
      </w:r>
      <w:r w:rsidRPr="000C672E">
        <w:rPr>
          <w:vertAlign w:val="subscript"/>
        </w:rPr>
        <w:t>8</w:t>
      </w:r>
      <w:r w:rsidRPr="000C672E">
        <w:t>O</w:t>
      </w:r>
      <w:r w:rsidRPr="000C672E">
        <w:rPr>
          <w:vertAlign w:val="subscript"/>
        </w:rPr>
        <w:t>22</w:t>
      </w:r>
      <w:r w:rsidRPr="000C672E">
        <w:t>(OH)</w:t>
      </w:r>
      <w:r w:rsidRPr="000C672E">
        <w:rPr>
          <w:vertAlign w:val="subscript"/>
        </w:rPr>
        <w:t xml:space="preserve">2 </w:t>
      </w:r>
      <w:r w:rsidRPr="000C672E">
        <w:t>has been made according to the IMA recommendations (</w:t>
      </w:r>
      <w:proofErr w:type="spellStart"/>
      <w:r w:rsidRPr="000C672E">
        <w:t>Leake</w:t>
      </w:r>
      <w:proofErr w:type="spellEnd"/>
      <w:r w:rsidRPr="000C672E">
        <w:t xml:space="preserve"> </w:t>
      </w:r>
      <w:r w:rsidRPr="000C672E">
        <w:rPr>
          <w:i/>
        </w:rPr>
        <w:t>et al</w:t>
      </w:r>
      <w:r w:rsidRPr="000C672E">
        <w:t xml:space="preserve">. 2004), by means of the WINAMPH software of </w:t>
      </w:r>
      <w:proofErr w:type="spellStart"/>
      <w:r w:rsidRPr="000C672E">
        <w:t>Yavuz</w:t>
      </w:r>
      <w:proofErr w:type="spellEnd"/>
      <w:r w:rsidRPr="000C672E">
        <w:t xml:space="preserve"> (2007). Other mineral structural formulae were calculated through the software CalcMin_32 (</w:t>
      </w:r>
      <w:proofErr w:type="spellStart"/>
      <w:r w:rsidRPr="000C672E">
        <w:t>Brandelik</w:t>
      </w:r>
      <w:proofErr w:type="spellEnd"/>
      <w:r w:rsidRPr="000C672E">
        <w:t xml:space="preserve"> 2009). </w:t>
      </w:r>
    </w:p>
    <w:p w:rsidR="009A2E5D" w:rsidRPr="000C672E" w:rsidRDefault="009A2E5D" w:rsidP="009A2E5D">
      <w:pPr>
        <w:tabs>
          <w:tab w:val="left" w:pos="0"/>
        </w:tabs>
        <w:autoSpaceDE w:val="0"/>
        <w:autoSpaceDN w:val="0"/>
        <w:adjustRightInd w:val="0"/>
        <w:snapToGrid w:val="0"/>
        <w:spacing w:line="480" w:lineRule="auto"/>
        <w:ind w:right="-153" w:firstLine="360"/>
        <w:jc w:val="both"/>
      </w:pPr>
    </w:p>
    <w:p w:rsidR="009A2E5D" w:rsidRPr="000C672E" w:rsidRDefault="009A2E5D" w:rsidP="009A2E5D">
      <w:pPr>
        <w:autoSpaceDE w:val="0"/>
        <w:autoSpaceDN w:val="0"/>
        <w:adjustRightInd w:val="0"/>
        <w:snapToGrid w:val="0"/>
        <w:spacing w:line="480" w:lineRule="auto"/>
        <w:ind w:right="-153"/>
        <w:jc w:val="both"/>
        <w:rPr>
          <w:b/>
          <w:lang w:val="en-GB"/>
        </w:rPr>
      </w:pPr>
      <w:r w:rsidRPr="000C672E">
        <w:rPr>
          <w:b/>
          <w:lang w:val="en-GB"/>
        </w:rPr>
        <w:t>Whole rock geochemistry</w:t>
      </w:r>
    </w:p>
    <w:p w:rsidR="009A2E5D" w:rsidRPr="000C672E" w:rsidRDefault="009A2E5D" w:rsidP="009A2E5D">
      <w:pPr>
        <w:tabs>
          <w:tab w:val="left" w:pos="0"/>
        </w:tabs>
        <w:autoSpaceDE w:val="0"/>
        <w:autoSpaceDN w:val="0"/>
        <w:adjustRightInd w:val="0"/>
        <w:snapToGrid w:val="0"/>
        <w:spacing w:line="480" w:lineRule="auto"/>
        <w:ind w:right="-153" w:firstLine="360"/>
        <w:jc w:val="both"/>
      </w:pPr>
      <w:r w:rsidRPr="000C672E">
        <w:t xml:space="preserve">Samples selected for geochemistry were grounded in a pre-contaminated </w:t>
      </w:r>
      <w:proofErr w:type="spellStart"/>
      <w:r w:rsidRPr="000C672E">
        <w:t>agathe</w:t>
      </w:r>
      <w:proofErr w:type="spellEnd"/>
      <w:r w:rsidRPr="000C672E">
        <w:t xml:space="preserve"> mill after careful washing in distilled water.  The chemical analyses were performed at the Activation Laboratory (Ontario, Canada), through ICP emission (major and some trace elements) and ICP-MS for trace elements (Code of analyses WRA+TRACE 4 </w:t>
      </w:r>
      <w:proofErr w:type="spellStart"/>
      <w:r w:rsidRPr="000C672E">
        <w:t>Lithoresearch</w:t>
      </w:r>
      <w:proofErr w:type="spellEnd"/>
      <w:r w:rsidRPr="000C672E">
        <w:t xml:space="preserve">). For major elements the precision is estimated better than 2% for values higher than 5 </w:t>
      </w:r>
      <w:proofErr w:type="spellStart"/>
      <w:r w:rsidRPr="000C672E">
        <w:t>wt</w:t>
      </w:r>
      <w:proofErr w:type="spellEnd"/>
      <w:r w:rsidRPr="000C672E">
        <w:t xml:space="preserve">% and better than 5% in the range 0.1 – 5 </w:t>
      </w:r>
      <w:proofErr w:type="spellStart"/>
      <w:r w:rsidRPr="000C672E">
        <w:t>wt</w:t>
      </w:r>
      <w:proofErr w:type="spellEnd"/>
      <w:r w:rsidRPr="000C672E">
        <w:t xml:space="preserve">%. For trace elements and REE the precision is 5 % in the range 1 - &gt; 100ppm and 10% in the range 0.1 – 1 ppm. </w:t>
      </w:r>
    </w:p>
    <w:p w:rsidR="009A2E5D" w:rsidRPr="000C672E" w:rsidRDefault="009A2E5D" w:rsidP="009A2E5D">
      <w:pPr>
        <w:tabs>
          <w:tab w:val="left" w:pos="0"/>
        </w:tabs>
        <w:autoSpaceDE w:val="0"/>
        <w:autoSpaceDN w:val="0"/>
        <w:adjustRightInd w:val="0"/>
        <w:snapToGrid w:val="0"/>
        <w:spacing w:line="480" w:lineRule="auto"/>
        <w:ind w:right="-153" w:firstLine="360"/>
        <w:jc w:val="both"/>
      </w:pPr>
    </w:p>
    <w:p w:rsidR="009A2E5D" w:rsidRPr="000C672E" w:rsidRDefault="009A2E5D" w:rsidP="009A2E5D">
      <w:pPr>
        <w:tabs>
          <w:tab w:val="left" w:pos="0"/>
        </w:tabs>
        <w:autoSpaceDE w:val="0"/>
        <w:autoSpaceDN w:val="0"/>
        <w:adjustRightInd w:val="0"/>
        <w:snapToGrid w:val="0"/>
        <w:spacing w:line="480" w:lineRule="auto"/>
        <w:ind w:right="-153" w:firstLine="360"/>
        <w:jc w:val="both"/>
        <w:rPr>
          <w:b/>
          <w:lang w:val="en-GB"/>
        </w:rPr>
      </w:pPr>
    </w:p>
    <w:p w:rsidR="009A2E5D" w:rsidRPr="000C672E" w:rsidRDefault="009A2E5D" w:rsidP="009A2E5D">
      <w:pPr>
        <w:tabs>
          <w:tab w:val="left" w:pos="-1620"/>
        </w:tabs>
        <w:autoSpaceDE w:val="0"/>
        <w:autoSpaceDN w:val="0"/>
        <w:adjustRightInd w:val="0"/>
        <w:snapToGrid w:val="0"/>
        <w:spacing w:line="480" w:lineRule="auto"/>
        <w:ind w:right="-153"/>
        <w:jc w:val="both"/>
        <w:rPr>
          <w:b/>
          <w:lang w:val="en-GB"/>
        </w:rPr>
      </w:pPr>
      <w:r w:rsidRPr="000C672E">
        <w:rPr>
          <w:b/>
          <w:vertAlign w:val="superscript"/>
          <w:lang w:val="en-GB"/>
        </w:rPr>
        <w:t>40</w:t>
      </w:r>
      <w:r w:rsidRPr="000C672E">
        <w:rPr>
          <w:b/>
          <w:lang w:val="en-GB"/>
        </w:rPr>
        <w:t>Ar/</w:t>
      </w:r>
      <w:r w:rsidRPr="000C672E">
        <w:rPr>
          <w:b/>
          <w:vertAlign w:val="superscript"/>
          <w:lang w:val="en-GB"/>
        </w:rPr>
        <w:t>39</w:t>
      </w:r>
      <w:r w:rsidRPr="000C672E">
        <w:rPr>
          <w:b/>
          <w:lang w:val="en-GB"/>
        </w:rPr>
        <w:t>Ar geochronology</w:t>
      </w:r>
    </w:p>
    <w:p w:rsidR="009A2E5D" w:rsidRPr="000C672E" w:rsidRDefault="009A2E5D" w:rsidP="009A2E5D">
      <w:pPr>
        <w:tabs>
          <w:tab w:val="left" w:pos="0"/>
        </w:tabs>
        <w:snapToGrid w:val="0"/>
        <w:spacing w:line="480" w:lineRule="auto"/>
        <w:ind w:firstLine="360"/>
        <w:jc w:val="both"/>
        <w:rPr>
          <w:lang w:val="en-GB"/>
        </w:rPr>
      </w:pPr>
      <w:r w:rsidRPr="000C672E">
        <w:rPr>
          <w:lang w:val="en-GB"/>
        </w:rPr>
        <w:t xml:space="preserve">Samples selected for the </w:t>
      </w:r>
      <w:r w:rsidRPr="000C672E">
        <w:rPr>
          <w:bCs/>
          <w:vertAlign w:val="superscript"/>
          <w:lang w:val="en-GB"/>
        </w:rPr>
        <w:t>40</w:t>
      </w:r>
      <w:r w:rsidRPr="000C672E">
        <w:rPr>
          <w:bCs/>
          <w:lang w:val="en-GB"/>
        </w:rPr>
        <w:t>Ar/</w:t>
      </w:r>
      <w:r w:rsidRPr="000C672E">
        <w:rPr>
          <w:bCs/>
          <w:vertAlign w:val="superscript"/>
          <w:lang w:val="en-GB"/>
        </w:rPr>
        <w:t>39</w:t>
      </w:r>
      <w:r w:rsidRPr="000C672E">
        <w:rPr>
          <w:bCs/>
          <w:lang w:val="en-GB"/>
        </w:rPr>
        <w:t>Ar</w:t>
      </w:r>
      <w:r w:rsidRPr="000C672E">
        <w:rPr>
          <w:lang w:val="en-GB"/>
        </w:rPr>
        <w:t xml:space="preserve"> dating were crushed, sieved and single grains of white mica of about 0.5 mm in diameter were handpicked under binocular microscope and cleaned in ultrasonic bath using acetone and distilled water. Pure </w:t>
      </w:r>
      <w:proofErr w:type="spellStart"/>
      <w:r w:rsidRPr="000C672E">
        <w:rPr>
          <w:lang w:val="en-GB"/>
        </w:rPr>
        <w:t>paragonite</w:t>
      </w:r>
      <w:proofErr w:type="spellEnd"/>
      <w:r w:rsidRPr="000C672E">
        <w:rPr>
          <w:lang w:val="en-GB"/>
        </w:rPr>
        <w:t xml:space="preserve"> has been eliminated under the microscope since it is more opalescent than </w:t>
      </w:r>
      <w:proofErr w:type="spellStart"/>
      <w:r w:rsidRPr="000C672E">
        <w:rPr>
          <w:lang w:val="en-GB"/>
        </w:rPr>
        <w:t>phengite</w:t>
      </w:r>
      <w:proofErr w:type="spellEnd"/>
      <w:r w:rsidRPr="000C672E">
        <w:rPr>
          <w:lang w:val="en-GB"/>
        </w:rPr>
        <w:t xml:space="preserve">. However, according to the mineral description given in the petrography section, it is likely that most of the selected grains are partially zoned, consisting of a mixture of </w:t>
      </w:r>
      <w:proofErr w:type="spellStart"/>
      <w:r w:rsidRPr="000C672E">
        <w:rPr>
          <w:lang w:val="en-GB"/>
        </w:rPr>
        <w:t>phengite</w:t>
      </w:r>
      <w:proofErr w:type="spellEnd"/>
      <w:r w:rsidRPr="000C672E">
        <w:rPr>
          <w:lang w:val="en-GB"/>
        </w:rPr>
        <w:t xml:space="preserve"> with high and low Si contents and some interlayered </w:t>
      </w:r>
      <w:proofErr w:type="spellStart"/>
      <w:r w:rsidRPr="000C672E">
        <w:rPr>
          <w:lang w:val="en-GB"/>
        </w:rPr>
        <w:t>paragonite</w:t>
      </w:r>
      <w:proofErr w:type="spellEnd"/>
      <w:r w:rsidRPr="000C672E">
        <w:rPr>
          <w:lang w:val="en-GB"/>
        </w:rPr>
        <w:t xml:space="preserve">. </w:t>
      </w:r>
      <w:proofErr w:type="spellStart"/>
      <w:r w:rsidRPr="000C672E">
        <w:rPr>
          <w:lang w:val="en-GB"/>
        </w:rPr>
        <w:t>Paragonite</w:t>
      </w:r>
      <w:proofErr w:type="spellEnd"/>
      <w:r w:rsidRPr="000C672E">
        <w:rPr>
          <w:lang w:val="en-GB"/>
        </w:rPr>
        <w:t xml:space="preserve"> is more abundant in the </w:t>
      </w:r>
      <w:proofErr w:type="spellStart"/>
      <w:r w:rsidRPr="000C672E">
        <w:rPr>
          <w:lang w:val="en-GB"/>
        </w:rPr>
        <w:t>metapelites</w:t>
      </w:r>
      <w:proofErr w:type="spellEnd"/>
      <w:r w:rsidRPr="000C672E">
        <w:rPr>
          <w:lang w:val="en-GB"/>
        </w:rPr>
        <w:t xml:space="preserve"> (sample MS39) as confirmed by the relatively low K-derived </w:t>
      </w:r>
      <w:r w:rsidRPr="000C672E">
        <w:rPr>
          <w:vertAlign w:val="superscript"/>
          <w:lang w:val="en-GB"/>
        </w:rPr>
        <w:t>39</w:t>
      </w:r>
      <w:r w:rsidRPr="000C672E">
        <w:rPr>
          <w:lang w:val="en-GB"/>
        </w:rPr>
        <w:t xml:space="preserve">Ar content of this sample compared to the other micas derived from the </w:t>
      </w:r>
      <w:proofErr w:type="spellStart"/>
      <w:r w:rsidRPr="000C672E">
        <w:rPr>
          <w:lang w:val="en-GB"/>
        </w:rPr>
        <w:t>blueschists</w:t>
      </w:r>
      <w:proofErr w:type="spellEnd"/>
      <w:r w:rsidRPr="000C672E">
        <w:rPr>
          <w:lang w:val="en-GB"/>
        </w:rPr>
        <w:t xml:space="preserve">.  The minerals were packaged in aluminium foils and irradiated for 40 hours in the core of the </w:t>
      </w:r>
      <w:proofErr w:type="spellStart"/>
      <w:r w:rsidRPr="000C672E">
        <w:rPr>
          <w:lang w:val="en-GB"/>
        </w:rPr>
        <w:t>Triga</w:t>
      </w:r>
      <w:proofErr w:type="spellEnd"/>
      <w:r w:rsidRPr="000C672E">
        <w:rPr>
          <w:lang w:val="en-GB"/>
        </w:rPr>
        <w:t xml:space="preserve"> Mark II nuclear reactor of Pavia (Italia) with several aliquots of the Taylor Creek </w:t>
      </w:r>
      <w:proofErr w:type="spellStart"/>
      <w:r w:rsidRPr="000C672E">
        <w:rPr>
          <w:lang w:val="en-GB"/>
        </w:rPr>
        <w:t>sanidine</w:t>
      </w:r>
      <w:proofErr w:type="spellEnd"/>
      <w:r w:rsidRPr="000C672E">
        <w:rPr>
          <w:lang w:val="en-GB"/>
        </w:rPr>
        <w:t xml:space="preserve"> standard (28.34 ± 0.10 Ma) as flux monitor. Argon isotopic interferences on K and Ca were determined by irradiation of KF and CaF</w:t>
      </w:r>
      <w:r w:rsidRPr="000C672E">
        <w:rPr>
          <w:vertAlign w:val="subscript"/>
          <w:lang w:val="en-GB"/>
        </w:rPr>
        <w:t>2</w:t>
      </w:r>
      <w:r w:rsidRPr="000C672E">
        <w:rPr>
          <w:lang w:val="en-GB"/>
        </w:rPr>
        <w:t xml:space="preserve"> pure salts from which the following correction factors were obtained: (</w:t>
      </w:r>
      <w:r w:rsidRPr="000C672E">
        <w:rPr>
          <w:vertAlign w:val="superscript"/>
          <w:lang w:val="en-GB"/>
        </w:rPr>
        <w:t>40</w:t>
      </w:r>
      <w:r w:rsidRPr="000C672E">
        <w:rPr>
          <w:lang w:val="en-GB"/>
        </w:rPr>
        <w:t>Ar/</w:t>
      </w:r>
      <w:r w:rsidRPr="000C672E">
        <w:rPr>
          <w:vertAlign w:val="superscript"/>
          <w:lang w:val="en-GB"/>
        </w:rPr>
        <w:t>39</w:t>
      </w:r>
      <w:r w:rsidRPr="000C672E">
        <w:rPr>
          <w:lang w:val="en-GB"/>
        </w:rPr>
        <w:t>Ar)</w:t>
      </w:r>
      <w:r w:rsidRPr="000C672E">
        <w:rPr>
          <w:vertAlign w:val="subscript"/>
          <w:lang w:val="en-GB"/>
        </w:rPr>
        <w:t>K</w:t>
      </w:r>
      <w:r w:rsidRPr="000C672E">
        <w:rPr>
          <w:lang w:val="en-GB"/>
        </w:rPr>
        <w:t xml:space="preserve"> = 0.00969 ± 0.00038, (</w:t>
      </w:r>
      <w:r w:rsidRPr="000C672E">
        <w:rPr>
          <w:vertAlign w:val="superscript"/>
          <w:lang w:val="en-GB"/>
        </w:rPr>
        <w:t>38</w:t>
      </w:r>
      <w:r w:rsidRPr="000C672E">
        <w:rPr>
          <w:lang w:val="en-GB"/>
        </w:rPr>
        <w:t>Ar/</w:t>
      </w:r>
      <w:r w:rsidRPr="000C672E">
        <w:rPr>
          <w:vertAlign w:val="superscript"/>
          <w:lang w:val="en-GB"/>
        </w:rPr>
        <w:t>39</w:t>
      </w:r>
      <w:r w:rsidRPr="000C672E">
        <w:rPr>
          <w:lang w:val="en-GB"/>
        </w:rPr>
        <w:t>Ar)</w:t>
      </w:r>
      <w:r w:rsidRPr="000C672E">
        <w:rPr>
          <w:vertAlign w:val="subscript"/>
          <w:lang w:val="en-GB"/>
        </w:rPr>
        <w:t>K</w:t>
      </w:r>
      <w:r w:rsidRPr="000C672E">
        <w:rPr>
          <w:lang w:val="en-GB"/>
        </w:rPr>
        <w:t xml:space="preserve"> = 0.01297 ± 0.00045, (</w:t>
      </w:r>
      <w:r w:rsidRPr="000C672E">
        <w:rPr>
          <w:vertAlign w:val="superscript"/>
          <w:lang w:val="en-GB"/>
        </w:rPr>
        <w:t>39</w:t>
      </w:r>
      <w:r w:rsidRPr="000C672E">
        <w:rPr>
          <w:lang w:val="en-GB"/>
        </w:rPr>
        <w:t>Ar/</w:t>
      </w:r>
      <w:r w:rsidRPr="000C672E">
        <w:rPr>
          <w:vertAlign w:val="superscript"/>
          <w:lang w:val="en-GB"/>
        </w:rPr>
        <w:t>37</w:t>
      </w:r>
      <w:r w:rsidRPr="000C672E">
        <w:rPr>
          <w:lang w:val="en-GB"/>
        </w:rPr>
        <w:t>Ar)</w:t>
      </w:r>
      <w:r w:rsidRPr="000C672E">
        <w:rPr>
          <w:vertAlign w:val="subscript"/>
          <w:lang w:val="en-GB"/>
        </w:rPr>
        <w:t>Ca</w:t>
      </w:r>
      <w:r w:rsidRPr="000C672E">
        <w:rPr>
          <w:lang w:val="en-GB"/>
        </w:rPr>
        <w:t xml:space="preserve"> = 0.0007474 ± 0.000021 and (</w:t>
      </w:r>
      <w:r w:rsidRPr="000C672E">
        <w:rPr>
          <w:vertAlign w:val="superscript"/>
          <w:lang w:val="en-GB"/>
        </w:rPr>
        <w:t>36</w:t>
      </w:r>
      <w:r w:rsidRPr="000C672E">
        <w:rPr>
          <w:lang w:val="en-GB"/>
        </w:rPr>
        <w:t>Ar/</w:t>
      </w:r>
      <w:r w:rsidRPr="000C672E">
        <w:rPr>
          <w:vertAlign w:val="superscript"/>
          <w:lang w:val="en-GB"/>
        </w:rPr>
        <w:t>37</w:t>
      </w:r>
      <w:r w:rsidRPr="000C672E">
        <w:rPr>
          <w:lang w:val="en-GB"/>
        </w:rPr>
        <w:t>Ar)</w:t>
      </w:r>
      <w:r w:rsidRPr="000C672E">
        <w:rPr>
          <w:vertAlign w:val="subscript"/>
          <w:lang w:val="en-GB"/>
        </w:rPr>
        <w:t>Ca</w:t>
      </w:r>
      <w:r w:rsidRPr="000C672E">
        <w:rPr>
          <w:lang w:val="en-GB"/>
        </w:rPr>
        <w:t xml:space="preserve"> = 0.000288 ± 0.000016. Argon analyses were performed at </w:t>
      </w:r>
      <w:proofErr w:type="spellStart"/>
      <w:r w:rsidRPr="000C672E">
        <w:rPr>
          <w:lang w:val="en-GB"/>
        </w:rPr>
        <w:t>Géosciences</w:t>
      </w:r>
      <w:proofErr w:type="spellEnd"/>
      <w:r w:rsidRPr="000C672E">
        <w:rPr>
          <w:lang w:val="en-GB"/>
        </w:rPr>
        <w:t xml:space="preserve"> Montpellier (France) with an analytical system that consists of: (a) an IR-CO2 laser of 100 kHz used at 5-15% during 30 sec for step-heating experiments, (b) a lenses system for beam focusing, (c) a steel sample chamber, maintained at 10</w:t>
      </w:r>
      <w:r w:rsidRPr="000C672E">
        <w:rPr>
          <w:vertAlign w:val="superscript"/>
          <w:lang w:val="en-GB"/>
        </w:rPr>
        <w:t>-8</w:t>
      </w:r>
      <w:r w:rsidRPr="000C672E">
        <w:rPr>
          <w:lang w:val="en-GB"/>
        </w:rPr>
        <w:t xml:space="preserve"> - 10</w:t>
      </w:r>
      <w:r w:rsidRPr="000C672E">
        <w:rPr>
          <w:vertAlign w:val="superscript"/>
          <w:lang w:val="en-GB"/>
        </w:rPr>
        <w:t>-9</w:t>
      </w:r>
      <w:r w:rsidRPr="000C672E">
        <w:rPr>
          <w:lang w:val="en-GB"/>
        </w:rPr>
        <w:t xml:space="preserve"> bar, with a drilled copper plate and samples on, (d) an inlet line for purification of gases including two </w:t>
      </w:r>
      <w:proofErr w:type="spellStart"/>
      <w:r w:rsidRPr="000C672E">
        <w:rPr>
          <w:lang w:val="en-GB"/>
        </w:rPr>
        <w:t>Zr</w:t>
      </w:r>
      <w:proofErr w:type="spellEnd"/>
      <w:r w:rsidRPr="000C672E">
        <w:rPr>
          <w:lang w:val="en-GB"/>
        </w:rPr>
        <w:t xml:space="preserve">-Al getters, (e) a multi-collector mass spectrometer (Argus VI from Thermo-Fisher). A custom-made software controls the laser intensity, the timing of extraction/purification and the data acquisition. The argon background within the system was evaluated every three sample analyses. The </w:t>
      </w:r>
      <w:proofErr w:type="spellStart"/>
      <w:r w:rsidRPr="000C672E">
        <w:rPr>
          <w:lang w:val="en-GB"/>
        </w:rPr>
        <w:t>ArArCalc</w:t>
      </w:r>
      <w:proofErr w:type="spellEnd"/>
      <w:r w:rsidRPr="000C672E">
        <w:rPr>
          <w:lang w:val="en-GB"/>
        </w:rPr>
        <w:t xml:space="preserve"> software© v2.5.2 was used for data reduction and plotting. The one-sigma errors </w:t>
      </w:r>
      <w:r w:rsidRPr="000C672E">
        <w:rPr>
          <w:lang w:val="en-GB"/>
        </w:rPr>
        <w:lastRenderedPageBreak/>
        <w:t xml:space="preserve">reported on plateau, </w:t>
      </w:r>
      <w:proofErr w:type="spellStart"/>
      <w:r w:rsidRPr="000C672E">
        <w:rPr>
          <w:lang w:val="en-GB"/>
        </w:rPr>
        <w:t>isochron</w:t>
      </w:r>
      <w:proofErr w:type="spellEnd"/>
      <w:r w:rsidRPr="000C672E">
        <w:rPr>
          <w:lang w:val="en-GB"/>
        </w:rPr>
        <w:t xml:space="preserve"> and total gas ages include the error on the irradiation factor J.  Atmospheric </w:t>
      </w:r>
      <w:r w:rsidRPr="000C672E">
        <w:rPr>
          <w:vertAlign w:val="superscript"/>
          <w:lang w:val="en-GB"/>
        </w:rPr>
        <w:t>40</w:t>
      </w:r>
      <w:r w:rsidRPr="000C672E">
        <w:rPr>
          <w:lang w:val="en-GB"/>
        </w:rPr>
        <w:t xml:space="preserve">Ar was estimated using a value of the initial </w:t>
      </w:r>
      <w:r w:rsidRPr="000C672E">
        <w:rPr>
          <w:vertAlign w:val="superscript"/>
          <w:lang w:val="en-GB"/>
        </w:rPr>
        <w:t>40</w:t>
      </w:r>
      <w:r w:rsidRPr="000C672E">
        <w:rPr>
          <w:lang w:val="en-GB"/>
        </w:rPr>
        <w:t>Ar/</w:t>
      </w:r>
      <w:r w:rsidRPr="000C672E">
        <w:rPr>
          <w:vertAlign w:val="superscript"/>
          <w:lang w:val="en-GB"/>
        </w:rPr>
        <w:t>36</w:t>
      </w:r>
      <w:r w:rsidRPr="000C672E">
        <w:rPr>
          <w:lang w:val="en-GB"/>
        </w:rPr>
        <w:t xml:space="preserve">Ar of 295.5. Due to the high radiogenic content of the dated micas, the data reported in the </w:t>
      </w:r>
      <w:r w:rsidRPr="000C672E">
        <w:rPr>
          <w:vertAlign w:val="superscript"/>
          <w:lang w:val="en-GB"/>
        </w:rPr>
        <w:t>36</w:t>
      </w:r>
      <w:r w:rsidRPr="000C672E">
        <w:rPr>
          <w:lang w:val="en-GB"/>
        </w:rPr>
        <w:t>Ar/</w:t>
      </w:r>
      <w:r w:rsidRPr="000C672E">
        <w:rPr>
          <w:vertAlign w:val="superscript"/>
          <w:lang w:val="en-GB"/>
        </w:rPr>
        <w:t>40</w:t>
      </w:r>
      <w:r w:rsidRPr="000C672E">
        <w:rPr>
          <w:lang w:val="en-GB"/>
        </w:rPr>
        <w:t xml:space="preserve">Ar </w:t>
      </w:r>
      <w:r w:rsidRPr="000C672E">
        <w:rPr>
          <w:i/>
          <w:iCs/>
          <w:lang w:val="en-GB"/>
        </w:rPr>
        <w:t>vs</w:t>
      </w:r>
      <w:r w:rsidRPr="000C672E">
        <w:rPr>
          <w:lang w:val="en-GB"/>
        </w:rPr>
        <w:t xml:space="preserve"> </w:t>
      </w:r>
      <w:r w:rsidRPr="000C672E">
        <w:rPr>
          <w:vertAlign w:val="superscript"/>
          <w:lang w:val="en-GB"/>
        </w:rPr>
        <w:t>39</w:t>
      </w:r>
      <w:r w:rsidRPr="000C672E">
        <w:rPr>
          <w:lang w:val="en-GB"/>
        </w:rPr>
        <w:t>Ar/</w:t>
      </w:r>
      <w:r w:rsidRPr="000C672E">
        <w:rPr>
          <w:vertAlign w:val="superscript"/>
          <w:lang w:val="en-GB"/>
        </w:rPr>
        <w:t>40</w:t>
      </w:r>
      <w:r w:rsidRPr="000C672E">
        <w:rPr>
          <w:lang w:val="en-GB"/>
        </w:rPr>
        <w:t xml:space="preserve">Ar correlation plot do not provide meaningful information on the composition of the initially trapped argon. This is a common characteristic for old and K-rich samples analysed with this method since the </w:t>
      </w:r>
      <w:r w:rsidRPr="000C672E">
        <w:rPr>
          <w:vertAlign w:val="superscript"/>
          <w:lang w:val="en-GB"/>
        </w:rPr>
        <w:t>40</w:t>
      </w:r>
      <w:r w:rsidRPr="000C672E">
        <w:rPr>
          <w:lang w:val="en-GB"/>
        </w:rPr>
        <w:t>Ar is the reference isotope. A complete set of isotopic results is available in Table 4.</w:t>
      </w:r>
    </w:p>
    <w:p w:rsidR="009A2E5D" w:rsidRPr="000C672E" w:rsidRDefault="009A2E5D" w:rsidP="009A2E5D">
      <w:pPr>
        <w:tabs>
          <w:tab w:val="left" w:pos="0"/>
        </w:tabs>
        <w:snapToGrid w:val="0"/>
        <w:spacing w:line="480" w:lineRule="auto"/>
        <w:ind w:left="180" w:hanging="360"/>
        <w:jc w:val="both"/>
        <w:rPr>
          <w:lang w:val="en-GB"/>
        </w:rPr>
      </w:pPr>
    </w:p>
    <w:p w:rsidR="0038647F" w:rsidRDefault="0038647F">
      <w:bookmarkStart w:id="0" w:name="_GoBack"/>
      <w:bookmarkEnd w:id="0"/>
    </w:p>
    <w:sectPr w:rsidR="00386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5D"/>
    <w:rsid w:val="0038647F"/>
    <w:rsid w:val="009A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Pantos</dc:creator>
  <cp:lastModifiedBy>Patricia Pantos</cp:lastModifiedBy>
  <cp:revision>1</cp:revision>
  <dcterms:created xsi:type="dcterms:W3CDTF">2017-01-11T12:54:00Z</dcterms:created>
  <dcterms:modified xsi:type="dcterms:W3CDTF">2017-01-11T12:54:00Z</dcterms:modified>
</cp:coreProperties>
</file>