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B082" w14:textId="54AD7375" w:rsidR="0096302F" w:rsidRPr="0096302F" w:rsidRDefault="0096302F" w:rsidP="0096302F">
      <w:pPr>
        <w:spacing w:line="360" w:lineRule="auto"/>
        <w:jc w:val="both"/>
        <w:rPr>
          <w:b/>
          <w:sz w:val="24"/>
        </w:rPr>
      </w:pPr>
      <w:r w:rsidRPr="0096302F">
        <w:rPr>
          <w:b/>
          <w:sz w:val="24"/>
        </w:rPr>
        <w:t xml:space="preserve">Supplementary material for: </w:t>
      </w:r>
      <w:r w:rsidRPr="0096302F">
        <w:rPr>
          <w:sz w:val="24"/>
        </w:rPr>
        <w:t>U–</w:t>
      </w:r>
      <w:proofErr w:type="spellStart"/>
      <w:r w:rsidRPr="0096302F">
        <w:rPr>
          <w:sz w:val="24"/>
        </w:rPr>
        <w:t>Pb</w:t>
      </w:r>
      <w:proofErr w:type="spellEnd"/>
      <w:r w:rsidRPr="0096302F">
        <w:rPr>
          <w:sz w:val="24"/>
        </w:rPr>
        <w:t xml:space="preserve"> zircon age constraints for the Ordovician </w:t>
      </w:r>
      <w:proofErr w:type="spellStart"/>
      <w:r w:rsidRPr="0096302F">
        <w:rPr>
          <w:sz w:val="24"/>
        </w:rPr>
        <w:t>Fishguard</w:t>
      </w:r>
      <w:proofErr w:type="spellEnd"/>
      <w:r w:rsidRPr="0096302F">
        <w:rPr>
          <w:sz w:val="24"/>
        </w:rPr>
        <w:t xml:space="preserve"> Volcanic Group and further evidence for the provenance </w:t>
      </w:r>
      <w:r w:rsidRPr="0096302F">
        <w:rPr>
          <w:sz w:val="24"/>
        </w:rPr>
        <w:t>of the Stonehenge bluestones</w:t>
      </w:r>
    </w:p>
    <w:p w14:paraId="02B035EF" w14:textId="77777777" w:rsidR="0096302F" w:rsidRPr="0096302F" w:rsidRDefault="0096302F" w:rsidP="0096302F">
      <w:pPr>
        <w:spacing w:line="360" w:lineRule="auto"/>
        <w:jc w:val="both"/>
        <w:rPr>
          <w:sz w:val="20"/>
        </w:rPr>
      </w:pPr>
      <w:r w:rsidRPr="0096302F">
        <w:rPr>
          <w:sz w:val="20"/>
        </w:rPr>
        <w:t xml:space="preserve">Richard </w:t>
      </w:r>
      <w:proofErr w:type="spellStart"/>
      <w:r w:rsidRPr="0096302F">
        <w:rPr>
          <w:sz w:val="20"/>
        </w:rPr>
        <w:t>Bevins</w:t>
      </w:r>
      <w:proofErr w:type="spellEnd"/>
      <w:r w:rsidRPr="0096302F">
        <w:rPr>
          <w:sz w:val="20"/>
        </w:rPr>
        <w:t xml:space="preserve">, Nicola Atkinson, Rob </w:t>
      </w:r>
      <w:proofErr w:type="spellStart"/>
      <w:r w:rsidRPr="0096302F">
        <w:rPr>
          <w:sz w:val="20"/>
        </w:rPr>
        <w:t>Ixer</w:t>
      </w:r>
      <w:proofErr w:type="spellEnd"/>
      <w:r w:rsidRPr="0096302F">
        <w:rPr>
          <w:sz w:val="20"/>
        </w:rPr>
        <w:t xml:space="preserve"> &amp; Jane Evans</w:t>
      </w:r>
    </w:p>
    <w:p w14:paraId="1D331F4E" w14:textId="6C60BCF1" w:rsidR="0096302F" w:rsidRPr="0096302F" w:rsidRDefault="0096302F" w:rsidP="0096302F">
      <w:pPr>
        <w:spacing w:line="360" w:lineRule="auto"/>
        <w:jc w:val="both"/>
        <w:rPr>
          <w:sz w:val="20"/>
        </w:rPr>
      </w:pPr>
      <w:r w:rsidRPr="0096302F">
        <w:rPr>
          <w:sz w:val="20"/>
        </w:rPr>
        <w:t>jgs2016-042</w:t>
      </w:r>
      <w:bookmarkStart w:id="0" w:name="_GoBack"/>
      <w:bookmarkEnd w:id="0"/>
    </w:p>
    <w:p w14:paraId="00684B8B" w14:textId="77777777" w:rsidR="0096302F" w:rsidRDefault="0096302F" w:rsidP="001C3B7C">
      <w:pPr>
        <w:spacing w:line="360" w:lineRule="auto"/>
        <w:jc w:val="both"/>
        <w:rPr>
          <w:b/>
        </w:rPr>
      </w:pPr>
    </w:p>
    <w:p w14:paraId="7DFBDD52" w14:textId="77777777" w:rsidR="002D3CA6" w:rsidRDefault="002D3CA6" w:rsidP="001C3B7C">
      <w:pPr>
        <w:spacing w:line="360" w:lineRule="auto"/>
        <w:jc w:val="both"/>
        <w:rPr>
          <w:b/>
        </w:rPr>
      </w:pPr>
      <w:r>
        <w:rPr>
          <w:b/>
        </w:rPr>
        <w:t>Chemistry and mass spectrometry</w:t>
      </w:r>
    </w:p>
    <w:p w14:paraId="42669EAE" w14:textId="07CA1F92" w:rsidR="002D3CA6" w:rsidRDefault="002D3CA6" w:rsidP="001C3B7C">
      <w:pPr>
        <w:spacing w:line="360" w:lineRule="auto"/>
        <w:jc w:val="both"/>
      </w:pPr>
      <w:r>
        <w:t>All U-Pb dating of zircons was carried out at the NERC Isotope Geoscience Laboratory based at the British Geological Survey.</w:t>
      </w:r>
      <w:r w:rsidR="00F960C8">
        <w:t xml:space="preserve"> </w:t>
      </w:r>
      <w:r>
        <w:t>Zircons were separated from the initial rock samples using conventional mineral separation techniques. Selected inclusion free zircons were picked from the resulting high density (&gt;3.27 g/cm</w:t>
      </w:r>
      <w:r>
        <w:rPr>
          <w:vertAlign w:val="superscript"/>
        </w:rPr>
        <w:t>3</w:t>
      </w:r>
      <w:r>
        <w:t>) diamagnetic fraction.</w:t>
      </w:r>
    </w:p>
    <w:p w14:paraId="0750E31F" w14:textId="19781CD3" w:rsidR="004478FE" w:rsidRDefault="004478FE" w:rsidP="001C3B7C">
      <w:pPr>
        <w:spacing w:line="360" w:lineRule="auto"/>
        <w:jc w:val="both"/>
      </w:pPr>
      <w:r>
        <w:t>All selected zircons were che</w:t>
      </w:r>
      <w:r w:rsidR="0077238B">
        <w:t xml:space="preserve">mically abraded following a protocol based on </w:t>
      </w:r>
      <w:proofErr w:type="spellStart"/>
      <w:r w:rsidR="0077238B">
        <w:t>Mattinson</w:t>
      </w:r>
      <w:proofErr w:type="spellEnd"/>
      <w:r w:rsidR="0077238B">
        <w:t xml:space="preserve"> (2005). This serves to eliminate radiation damaged zones that are susceptible to open system behaviour. Zircons were annealed in a quartz dish at 900°C for 60 hours, and then individual zircons were loaded into FEP Teflon beakers. </w:t>
      </w:r>
      <w:r w:rsidR="006E444F">
        <w:t>The zircons were refluxed in 4M HNO</w:t>
      </w:r>
      <w:r w:rsidR="006E444F">
        <w:rPr>
          <w:vertAlign w:val="subscript"/>
        </w:rPr>
        <w:t>3</w:t>
      </w:r>
      <w:r w:rsidR="006E444F">
        <w:t xml:space="preserve"> for several hours at 120°C, and cleaned in an ultrasonic bath for 30 to 60 minutes. Following this, single crystals were rinsed in acetone, followed by 4M HNO</w:t>
      </w:r>
      <w:r w:rsidR="006E444F">
        <w:rPr>
          <w:vertAlign w:val="subscript"/>
        </w:rPr>
        <w:t>3</w:t>
      </w:r>
      <w:r w:rsidR="006E444F">
        <w:t xml:space="preserve">, and loaded into 300 µL Teflon microcapsules. Sets of 15 microcapsules were placed in a Teflon liner and loaded into a steel pressure vessel (Parr Vessel). </w:t>
      </w:r>
      <w:r w:rsidR="00FE5D1D">
        <w:t>Zircons were then leached in 29M HF at 180°</w:t>
      </w:r>
      <w:r w:rsidR="00B87412">
        <w:t>C for 8 to 12 hours, rinsed in 4M HNO</w:t>
      </w:r>
      <w:r w:rsidR="00B87412">
        <w:rPr>
          <w:vertAlign w:val="subscript"/>
        </w:rPr>
        <w:t>3</w:t>
      </w:r>
      <w:r w:rsidR="00B87412">
        <w:t xml:space="preserve"> and leached on a hotplate in 6M HCl at 120°C overnight. A subsequent rinse step in 4M HNO</w:t>
      </w:r>
      <w:r w:rsidR="00B87412">
        <w:rPr>
          <w:vertAlign w:val="subscript"/>
        </w:rPr>
        <w:t>3</w:t>
      </w:r>
      <w:r w:rsidR="00B87412">
        <w:t xml:space="preserve"> was carried out, before spiking. All zircons were spiked with a </w:t>
      </w:r>
      <w:r w:rsidR="00B87412">
        <w:rPr>
          <w:vertAlign w:val="superscript"/>
        </w:rPr>
        <w:t>202</w:t>
      </w:r>
      <w:r w:rsidR="00B87412">
        <w:t xml:space="preserve">Pb, </w:t>
      </w:r>
      <w:r w:rsidR="00B87412">
        <w:rPr>
          <w:vertAlign w:val="superscript"/>
        </w:rPr>
        <w:t>205</w:t>
      </w:r>
      <w:r w:rsidR="00B87412">
        <w:t xml:space="preserve">Pb, </w:t>
      </w:r>
      <w:r w:rsidR="00B87412">
        <w:rPr>
          <w:vertAlign w:val="superscript"/>
        </w:rPr>
        <w:t>233</w:t>
      </w:r>
      <w:r w:rsidR="00B87412">
        <w:t xml:space="preserve">U and </w:t>
      </w:r>
      <w:r w:rsidR="00B87412">
        <w:rPr>
          <w:vertAlign w:val="superscript"/>
        </w:rPr>
        <w:t>235</w:t>
      </w:r>
      <w:r w:rsidR="00B87412">
        <w:t xml:space="preserve">U (ET2535) EARTHTIME tracer solution, and returned to the Parr </w:t>
      </w:r>
      <w:r w:rsidR="00111DD9">
        <w:t xml:space="preserve">Vessel </w:t>
      </w:r>
      <w:r w:rsidR="00B87412">
        <w:t>for dissolution in 29M HF at 220°C for 60 hours. Zircon dissolution is assumed to be complete based on previous dissolution checks using the same time and temperature protocols.</w:t>
      </w:r>
    </w:p>
    <w:p w14:paraId="574BCF92" w14:textId="77777777" w:rsidR="00D85E16" w:rsidRDefault="00D85E16" w:rsidP="001C3B7C">
      <w:pPr>
        <w:spacing w:line="360" w:lineRule="auto"/>
        <w:jc w:val="both"/>
      </w:pPr>
      <w:r>
        <w:t>Following dissolution, zircons were dried down on a hotplate at 140°C for several hours and converted from fluorides to chlorides via re-</w:t>
      </w:r>
      <w:r w:rsidR="00D21D2E">
        <w:t>dissolution</w:t>
      </w:r>
      <w:r>
        <w:t xml:space="preserve"> in 3M HCl in Parr vessels at 180°C overnight.</w:t>
      </w:r>
      <w:r w:rsidR="00D21D2E">
        <w:t xml:space="preserve">  U and Pb separation was carried out using 300 µL capacity columns and ~150 µL </w:t>
      </w:r>
      <w:proofErr w:type="spellStart"/>
      <w:r w:rsidR="00D21D2E">
        <w:t>Eichrom</w:t>
      </w:r>
      <w:proofErr w:type="spellEnd"/>
      <w:r w:rsidR="00D21D2E">
        <w:t xml:space="preserve"> AG-1</w:t>
      </w:r>
      <w:r w:rsidR="00593277">
        <w:t xml:space="preserve"> </w:t>
      </w:r>
      <w:r w:rsidR="00DD0A0E">
        <w:t>1x8 ion</w:t>
      </w:r>
      <w:r w:rsidR="00D21D2E">
        <w:t xml:space="preserve"> exchange resin</w:t>
      </w:r>
      <w:r w:rsidR="00593277">
        <w:t>. Pb was separated using 6M HCl and U was separated using MQ H</w:t>
      </w:r>
      <w:r w:rsidR="00593277">
        <w:rPr>
          <w:vertAlign w:val="subscript"/>
        </w:rPr>
        <w:t>2</w:t>
      </w:r>
      <w:r w:rsidR="00593277">
        <w:t xml:space="preserve">O and 1M HCl.  Following separation from the rest of the zircon matrix, the U and Pb fractions were recombined and dried down with 10 µL </w:t>
      </w:r>
      <w:r w:rsidR="00593277" w:rsidRPr="00021094">
        <w:t>0.03M</w:t>
      </w:r>
      <w:r w:rsidR="00593277">
        <w:t xml:space="preserve"> H</w:t>
      </w:r>
      <w:r w:rsidR="00593277">
        <w:rPr>
          <w:vertAlign w:val="subscript"/>
        </w:rPr>
        <w:t>3</w:t>
      </w:r>
      <w:r w:rsidR="00593277">
        <w:t>PO</w:t>
      </w:r>
      <w:r w:rsidR="00593277">
        <w:rPr>
          <w:vertAlign w:val="subscript"/>
        </w:rPr>
        <w:t>4</w:t>
      </w:r>
      <w:r w:rsidR="00593277">
        <w:t>, and loaded onto zone refined rhenium filaments for analysis in a silica gel matrix to enhance ionisation.</w:t>
      </w:r>
    </w:p>
    <w:p w14:paraId="14DFBE76" w14:textId="7E3754E4" w:rsidR="00EC2685" w:rsidRPr="00EC2685" w:rsidRDefault="00EC2685" w:rsidP="001C3B7C">
      <w:pPr>
        <w:spacing w:line="360" w:lineRule="auto"/>
        <w:jc w:val="both"/>
      </w:pPr>
      <w:r>
        <w:lastRenderedPageBreak/>
        <w:t xml:space="preserve">Isotope ratio measurements were made using a Thermo-Electron Triton thermal ionisation mass spectrometer. Pb measurements were made in dynamic mode using a </w:t>
      </w:r>
      <w:proofErr w:type="spellStart"/>
      <w:r>
        <w:t>MassCom</w:t>
      </w:r>
      <w:proofErr w:type="spellEnd"/>
      <w:r>
        <w:t xml:space="preserve"> secondary electron multiplier (SEM), and corrected for mass bias in real time using the measured </w:t>
      </w:r>
      <w:r>
        <w:rPr>
          <w:vertAlign w:val="superscript"/>
        </w:rPr>
        <w:t>202</w:t>
      </w:r>
      <w:r>
        <w:t>Pb/</w:t>
      </w:r>
      <w:r>
        <w:rPr>
          <w:vertAlign w:val="superscript"/>
        </w:rPr>
        <w:t>205</w:t>
      </w:r>
      <w:r>
        <w:t>Pb ratio. U was measured as UO</w:t>
      </w:r>
      <w:r>
        <w:rPr>
          <w:vertAlign w:val="subscript"/>
        </w:rPr>
        <w:t>2</w:t>
      </w:r>
      <w:r>
        <w:t xml:space="preserve"> and corrected for isobaric interference using a</w:t>
      </w:r>
      <w:r w:rsidR="00111DD9">
        <w:t>n</w:t>
      </w:r>
      <w:r>
        <w:t xml:space="preserve"> </w:t>
      </w:r>
      <w:r>
        <w:rPr>
          <w:vertAlign w:val="superscript"/>
        </w:rPr>
        <w:t>18</w:t>
      </w:r>
      <w:r>
        <w:t>O/</w:t>
      </w:r>
      <w:r>
        <w:rPr>
          <w:vertAlign w:val="superscript"/>
        </w:rPr>
        <w:t>16</w:t>
      </w:r>
      <w:r>
        <w:t xml:space="preserve">O ratio of 0.0205 (IUPAC value, also measured in house at NIGL). U was measured in dynamic mode on the SEM, or in static mode for signals greater than 4 mV. Static measurements were taken on Faraday detectors equipped with </w:t>
      </w:r>
      <w:r w:rsidR="00B75117">
        <w:t xml:space="preserve">amplifiers fitted with </w:t>
      </w:r>
      <w:r>
        <w:t>10</w:t>
      </w:r>
      <w:r>
        <w:rPr>
          <w:vertAlign w:val="superscript"/>
        </w:rPr>
        <w:t>12</w:t>
      </w:r>
      <w:r>
        <w:t xml:space="preserve"> Ω resistors. U mass fractionation was calculated in real time based on the isotopic composition of the ET2535 tracer solution.</w:t>
      </w:r>
    </w:p>
    <w:p w14:paraId="4D59C15D" w14:textId="77777777" w:rsidR="00EC2685" w:rsidRDefault="00EC2685" w:rsidP="001C3B7C">
      <w:pPr>
        <w:spacing w:line="360" w:lineRule="auto"/>
        <w:jc w:val="both"/>
        <w:rPr>
          <w:b/>
        </w:rPr>
      </w:pPr>
      <w:r>
        <w:rPr>
          <w:b/>
        </w:rPr>
        <w:t>Data reduction and archiving</w:t>
      </w:r>
    </w:p>
    <w:p w14:paraId="075BEAF9" w14:textId="38426F68" w:rsidR="002D3CA6" w:rsidRDefault="003155C9" w:rsidP="001C3B7C">
      <w:pPr>
        <w:spacing w:line="360" w:lineRule="auto"/>
        <w:jc w:val="both"/>
      </w:pPr>
      <w:r>
        <w:t xml:space="preserve">Raw data </w:t>
      </w:r>
      <w:r w:rsidR="00F64021">
        <w:t xml:space="preserve">was filtered using the Tripoli program (McLean </w:t>
      </w:r>
      <w:r w:rsidR="00F64021" w:rsidRPr="007F7606">
        <w:rPr>
          <w:i/>
        </w:rPr>
        <w:t>et al</w:t>
      </w:r>
      <w:r w:rsidR="00111DD9" w:rsidRPr="007F7606">
        <w:rPr>
          <w:i/>
        </w:rPr>
        <w:t>.</w:t>
      </w:r>
      <w:r w:rsidR="00F64021">
        <w:t xml:space="preserve"> 2011), and dates and propagated uncertainties were calculated in </w:t>
      </w:r>
      <w:proofErr w:type="spellStart"/>
      <w:r w:rsidR="00F64021">
        <w:t>ET_Redux</w:t>
      </w:r>
      <w:proofErr w:type="spellEnd"/>
      <w:r w:rsidR="00F64021">
        <w:t xml:space="preserve">, based on algorithms of McLean </w:t>
      </w:r>
      <w:r w:rsidR="00F64021" w:rsidRPr="007F7606">
        <w:rPr>
          <w:i/>
        </w:rPr>
        <w:t>et al</w:t>
      </w:r>
      <w:r w:rsidR="00111DD9" w:rsidRPr="007F7606">
        <w:rPr>
          <w:i/>
        </w:rPr>
        <w:t>.</w:t>
      </w:r>
      <w:r w:rsidR="00F64021">
        <w:t xml:space="preserve"> (2011), using decay constants of </w:t>
      </w:r>
      <w:proofErr w:type="spellStart"/>
      <w:r w:rsidR="00F64021">
        <w:t>Jaffey</w:t>
      </w:r>
      <w:proofErr w:type="spellEnd"/>
      <w:r w:rsidR="00F64021">
        <w:t xml:space="preserve"> </w:t>
      </w:r>
      <w:r w:rsidR="00F64021" w:rsidRPr="007F7606">
        <w:rPr>
          <w:i/>
        </w:rPr>
        <w:t>et al</w:t>
      </w:r>
      <w:r w:rsidR="00111DD9" w:rsidRPr="007F7606">
        <w:rPr>
          <w:i/>
        </w:rPr>
        <w:t>.</w:t>
      </w:r>
      <w:r w:rsidR="00F64021">
        <w:t xml:space="preserve"> (1971)</w:t>
      </w:r>
      <w:r w:rsidR="00B75117">
        <w:t>,</w:t>
      </w:r>
      <w:r w:rsidR="00F64021">
        <w:t xml:space="preserve"> and the </w:t>
      </w:r>
      <w:r w:rsidR="00F64021">
        <w:rPr>
          <w:vertAlign w:val="superscript"/>
        </w:rPr>
        <w:t>238</w:t>
      </w:r>
      <w:r w:rsidR="00F64021">
        <w:t>U/</w:t>
      </w:r>
      <w:r w:rsidR="00F64021">
        <w:rPr>
          <w:vertAlign w:val="superscript"/>
        </w:rPr>
        <w:t>235</w:t>
      </w:r>
      <w:r w:rsidR="00F64021">
        <w:t xml:space="preserve">U ratio of Hiess </w:t>
      </w:r>
      <w:r w:rsidR="00F64021" w:rsidRPr="007F7606">
        <w:rPr>
          <w:i/>
        </w:rPr>
        <w:t>et al</w:t>
      </w:r>
      <w:r w:rsidR="00111DD9" w:rsidRPr="007F7606">
        <w:rPr>
          <w:i/>
        </w:rPr>
        <w:t>.</w:t>
      </w:r>
      <w:r w:rsidR="00F64021">
        <w:t xml:space="preserve"> (2012).</w:t>
      </w:r>
      <w:r w:rsidR="008C027F">
        <w:t xml:space="preserve"> </w:t>
      </w:r>
      <w:r w:rsidR="0047682B">
        <w:t xml:space="preserve">Pb blanks ranged from 0.30 </w:t>
      </w:r>
      <w:proofErr w:type="spellStart"/>
      <w:r w:rsidR="0047682B">
        <w:t>pg</w:t>
      </w:r>
      <w:proofErr w:type="spellEnd"/>
      <w:r w:rsidR="0047682B">
        <w:t xml:space="preserve"> to 5.56 </w:t>
      </w:r>
      <w:proofErr w:type="spellStart"/>
      <w:r w:rsidR="0047682B">
        <w:t>pg</w:t>
      </w:r>
      <w:proofErr w:type="spellEnd"/>
      <w:r w:rsidR="0047682B">
        <w:t xml:space="preserve"> of common Pb, which was attributed to laboratory Pb and subtracted using a Pb isotopic composition of </w:t>
      </w:r>
      <w:r w:rsidR="0047682B">
        <w:rPr>
          <w:vertAlign w:val="superscript"/>
        </w:rPr>
        <w:t>206</w:t>
      </w:r>
      <w:r w:rsidR="0047682B">
        <w:t>Pb/</w:t>
      </w:r>
      <w:r w:rsidR="0047682B">
        <w:rPr>
          <w:vertAlign w:val="superscript"/>
        </w:rPr>
        <w:t>204</w:t>
      </w:r>
      <w:r w:rsidR="0047682B">
        <w:t xml:space="preserve">Pb = 18.20 ± 0.50%, </w:t>
      </w:r>
      <w:r w:rsidR="0047682B">
        <w:rPr>
          <w:vertAlign w:val="superscript"/>
        </w:rPr>
        <w:t>207</w:t>
      </w:r>
      <w:r w:rsidR="0047682B">
        <w:t>Pb/</w:t>
      </w:r>
      <w:r w:rsidR="0047682B">
        <w:rPr>
          <w:vertAlign w:val="superscript"/>
        </w:rPr>
        <w:t>204</w:t>
      </w:r>
      <w:r w:rsidR="0047682B">
        <w:t xml:space="preserve">Pb = 15.65 ± 0.40% and </w:t>
      </w:r>
      <w:r w:rsidR="0047682B">
        <w:rPr>
          <w:vertAlign w:val="superscript"/>
        </w:rPr>
        <w:t>208</w:t>
      </w:r>
      <w:r w:rsidR="0047682B">
        <w:t>Pb/</w:t>
      </w:r>
      <w:r w:rsidR="0047682B">
        <w:rPr>
          <w:vertAlign w:val="superscript"/>
        </w:rPr>
        <w:t>204</w:t>
      </w:r>
      <w:r w:rsidR="0047682B">
        <w:t xml:space="preserve">Pb = 38.02 ± 0.75% (1σ uncertainties). </w:t>
      </w:r>
      <w:r w:rsidR="0047682B">
        <w:rPr>
          <w:vertAlign w:val="superscript"/>
        </w:rPr>
        <w:t>206</w:t>
      </w:r>
      <w:r w:rsidR="0047682B">
        <w:t>Pb/</w:t>
      </w:r>
      <w:r w:rsidR="0047682B">
        <w:rPr>
          <w:vertAlign w:val="superscript"/>
        </w:rPr>
        <w:t>238</w:t>
      </w:r>
      <w:r w:rsidR="0047682B">
        <w:t xml:space="preserve">U dates were corrected for initial </w:t>
      </w:r>
      <w:r w:rsidR="0047682B">
        <w:rPr>
          <w:vertAlign w:val="superscript"/>
        </w:rPr>
        <w:t>230</w:t>
      </w:r>
      <w:r w:rsidR="0047682B" w:rsidRPr="0086081E">
        <w:t>Th</w:t>
      </w:r>
      <w:r w:rsidR="0047682B">
        <w:t xml:space="preserve"> disequilibrium using</w:t>
      </w:r>
      <w:r w:rsidR="00B75117">
        <w:t xml:space="preserve"> a</w:t>
      </w:r>
      <w:r w:rsidR="0047682B">
        <w:t xml:space="preserve"> </w:t>
      </w:r>
      <w:proofErr w:type="spellStart"/>
      <w:r w:rsidR="0047682B">
        <w:t>Th</w:t>
      </w:r>
      <w:proofErr w:type="spellEnd"/>
      <w:r w:rsidR="0047682B">
        <w:t>/</w:t>
      </w:r>
      <w:proofErr w:type="spellStart"/>
      <w:r w:rsidR="0047682B">
        <w:t>U</w:t>
      </w:r>
      <w:r w:rsidR="0047682B">
        <w:rPr>
          <w:vertAlign w:val="subscript"/>
        </w:rPr>
        <w:t>magma</w:t>
      </w:r>
      <w:proofErr w:type="spellEnd"/>
      <w:r w:rsidR="0047682B">
        <w:t xml:space="preserve"> composition of 2.8 ± 0.5. U blanks were assumed to be 0.1 ± 0.01 </w:t>
      </w:r>
      <w:proofErr w:type="spellStart"/>
      <w:r w:rsidR="0047682B">
        <w:t>pg</w:t>
      </w:r>
      <w:proofErr w:type="spellEnd"/>
      <w:r w:rsidR="0047682B">
        <w:t xml:space="preserve"> (1σ).</w:t>
      </w:r>
    </w:p>
    <w:p w14:paraId="2394BE29" w14:textId="20D2E3BD" w:rsidR="00F708EB" w:rsidRDefault="00CF7FC3" w:rsidP="001C3B7C">
      <w:pPr>
        <w:spacing w:line="360" w:lineRule="auto"/>
        <w:jc w:val="both"/>
      </w:pPr>
      <w:r>
        <w:t xml:space="preserve">Analytical data are presented in </w:t>
      </w:r>
      <w:r w:rsidR="008F597A">
        <w:t>this</w:t>
      </w:r>
      <w:r>
        <w:t xml:space="preserve"> </w:t>
      </w:r>
      <w:r w:rsidR="00111DD9">
        <w:t>supplementary material</w:t>
      </w:r>
      <w:r w:rsidR="00F708EB">
        <w:t xml:space="preserve">. </w:t>
      </w:r>
      <w:r>
        <w:t xml:space="preserve">Uncertainties on the ages </w:t>
      </w:r>
      <w:r w:rsidR="00F708EB">
        <w:t xml:space="preserve">are given at a number of levels </w:t>
      </w:r>
      <w:r w:rsidR="003812E8">
        <w:t>to reflect the analytical uncertainty plus other sources of systematic uncertainty (i.e. tracer calibration and decay constants)</w:t>
      </w:r>
      <w:r w:rsidR="00F708EB">
        <w:t xml:space="preserve">. </w:t>
      </w:r>
    </w:p>
    <w:tbl>
      <w:tblPr>
        <w:tblStyle w:val="MediumLis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7"/>
        <w:gridCol w:w="956"/>
        <w:gridCol w:w="985"/>
        <w:gridCol w:w="1268"/>
        <w:gridCol w:w="1036"/>
        <w:gridCol w:w="1040"/>
        <w:gridCol w:w="1036"/>
        <w:gridCol w:w="967"/>
        <w:gridCol w:w="667"/>
      </w:tblGrid>
      <w:tr w:rsidR="007F7606" w:rsidRPr="009638B4" w14:paraId="64893B7A" w14:textId="77777777" w:rsidTr="00B6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FFFFFF" w:themeFill="background1"/>
          </w:tcPr>
          <w:p w14:paraId="1C4FE890" w14:textId="77777777" w:rsidR="00F708EB" w:rsidRPr="009638B4" w:rsidRDefault="00F708EB" w:rsidP="00B66C2D">
            <w:pPr>
              <w:rPr>
                <w:b w:val="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14:paraId="4099A298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FF8998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8B4">
              <w:rPr>
                <w:b/>
              </w:rPr>
              <w:t>Sample ID</w:t>
            </w:r>
          </w:p>
        </w:tc>
        <w:tc>
          <w:tcPr>
            <w:tcW w:w="1276" w:type="dxa"/>
            <w:shd w:val="clear" w:color="auto" w:fill="FFFFFF" w:themeFill="background1"/>
          </w:tcPr>
          <w:p w14:paraId="464E6708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B1634">
              <w:rPr>
                <w:b/>
                <w:vertAlign w:val="superscript"/>
              </w:rPr>
              <w:t>206</w:t>
            </w:r>
            <w:r>
              <w:rPr>
                <w:b/>
              </w:rPr>
              <w:t>Pb</w:t>
            </w:r>
            <w:r w:rsidRPr="009638B4">
              <w:rPr>
                <w:b/>
              </w:rPr>
              <w:t>/</w:t>
            </w:r>
            <w:r w:rsidRPr="003B1634">
              <w:rPr>
                <w:b/>
                <w:vertAlign w:val="superscript"/>
              </w:rPr>
              <w:t>238</w:t>
            </w:r>
            <w:r>
              <w:rPr>
                <w:b/>
              </w:rPr>
              <w:t>U</w:t>
            </w:r>
            <w:r w:rsidRPr="009638B4">
              <w:rPr>
                <w:b/>
              </w:rPr>
              <w:t xml:space="preserve"> zircon date</w:t>
            </w:r>
            <w:r>
              <w:rPr>
                <w:b/>
              </w:rPr>
              <w:t xml:space="preserve"> (Ma)</w:t>
            </w:r>
          </w:p>
        </w:tc>
        <w:tc>
          <w:tcPr>
            <w:tcW w:w="1134" w:type="dxa"/>
            <w:shd w:val="clear" w:color="auto" w:fill="FFFFFF" w:themeFill="background1"/>
          </w:tcPr>
          <w:p w14:paraId="48D37D71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8B4">
              <w:rPr>
                <w:b/>
              </w:rPr>
              <w:t>± X</w:t>
            </w:r>
            <w:r>
              <w:rPr>
                <w:b/>
              </w:rPr>
              <w:t xml:space="preserve"> (Ma)</w:t>
            </w:r>
          </w:p>
        </w:tc>
        <w:tc>
          <w:tcPr>
            <w:tcW w:w="1134" w:type="dxa"/>
            <w:shd w:val="clear" w:color="auto" w:fill="FFFFFF" w:themeFill="background1"/>
          </w:tcPr>
          <w:p w14:paraId="7480223A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8B4">
              <w:rPr>
                <w:b/>
              </w:rPr>
              <w:t>± Y</w:t>
            </w:r>
            <w:r>
              <w:rPr>
                <w:b/>
              </w:rPr>
              <w:t xml:space="preserve"> (Ma)</w:t>
            </w:r>
          </w:p>
        </w:tc>
        <w:tc>
          <w:tcPr>
            <w:tcW w:w="1134" w:type="dxa"/>
            <w:shd w:val="clear" w:color="auto" w:fill="FFFFFF" w:themeFill="background1"/>
          </w:tcPr>
          <w:p w14:paraId="72AE0487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8B4">
              <w:rPr>
                <w:b/>
              </w:rPr>
              <w:t>± Z</w:t>
            </w:r>
            <w:r>
              <w:rPr>
                <w:b/>
              </w:rPr>
              <w:t xml:space="preserve"> (Ma)</w:t>
            </w:r>
          </w:p>
        </w:tc>
        <w:tc>
          <w:tcPr>
            <w:tcW w:w="992" w:type="dxa"/>
            <w:shd w:val="clear" w:color="auto" w:fill="FFFFFF" w:themeFill="background1"/>
          </w:tcPr>
          <w:p w14:paraId="18F099D2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38B4">
              <w:rPr>
                <w:b/>
              </w:rPr>
              <w:t>MSWD</w:t>
            </w:r>
          </w:p>
        </w:tc>
        <w:tc>
          <w:tcPr>
            <w:tcW w:w="709" w:type="dxa"/>
            <w:shd w:val="clear" w:color="auto" w:fill="FFFFFF" w:themeFill="background1"/>
          </w:tcPr>
          <w:p w14:paraId="6149BA9E" w14:textId="77777777" w:rsidR="00F708EB" w:rsidRPr="009638B4" w:rsidRDefault="00F708EB" w:rsidP="00B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111DD9" w14:paraId="74A14F52" w14:textId="77777777" w:rsidTr="00B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7FBBAFBA" w14:textId="77777777" w:rsidR="00F708EB" w:rsidRPr="009638B4" w:rsidRDefault="00F708EB" w:rsidP="00B66C2D">
            <w:pPr>
              <w:rPr>
                <w:b w:val="0"/>
              </w:rPr>
            </w:pPr>
            <w:proofErr w:type="spellStart"/>
            <w:r w:rsidRPr="009638B4">
              <w:rPr>
                <w:b w:val="0"/>
              </w:rPr>
              <w:t>Fishguard</w:t>
            </w:r>
            <w:proofErr w:type="spellEnd"/>
            <w:r w:rsidRPr="009638B4">
              <w:rPr>
                <w:b w:val="0"/>
              </w:rPr>
              <w:t xml:space="preserve"> Volcanic Group</w:t>
            </w:r>
          </w:p>
        </w:tc>
        <w:tc>
          <w:tcPr>
            <w:tcW w:w="94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E516ECD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75148E9A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SW54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30AFABDF" w14:textId="6B6EFA61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E6162A6" w14:textId="1B884484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91275EF" w14:textId="55B9375F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344346CA" w14:textId="3D8E12ED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13FF7B9E" w14:textId="0E78D8A8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4B3613C5" w14:textId="4D1C4E3E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DD9" w14:paraId="1149AD51" w14:textId="77777777" w:rsidTr="00B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CE610" w14:textId="77777777" w:rsidR="00F708EB" w:rsidRPr="009638B4" w:rsidRDefault="00F708EB" w:rsidP="00B66C2D">
            <w:pPr>
              <w:rPr>
                <w:b w:val="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C2D598" w14:textId="7B89FFBC" w:rsidR="00F708EB" w:rsidRDefault="00111DD9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="00F708EB">
              <w:t>Middle</w:t>
            </w:r>
            <w:r>
              <w:t>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8903B6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600846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462.64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A573F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1E26E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867EF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80AB9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C03F4F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6/6</w:t>
            </w:r>
          </w:p>
        </w:tc>
      </w:tr>
      <w:tr w:rsidR="00111DD9" w14:paraId="763D62FB" w14:textId="77777777" w:rsidTr="00B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8ABA51" w14:textId="77777777" w:rsidR="00F708EB" w:rsidRPr="009638B4" w:rsidRDefault="00F708EB" w:rsidP="00B66C2D">
            <w:pPr>
              <w:rPr>
                <w:b w:val="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A909D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Bottom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2AB30C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3AF4B" w14:textId="51F2769E" w:rsidR="00F708EB" w:rsidRPr="00CF66DC" w:rsidRDefault="00D833F2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~464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8CB95" w14:textId="5DBD59EC" w:rsidR="00F708EB" w:rsidRPr="00CF66DC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6C5DB" w14:textId="442F9A5C" w:rsidR="00F708EB" w:rsidRPr="00CF66DC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913B47" w14:textId="71419D47" w:rsidR="00F708EB" w:rsidRPr="00CF66DC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BDFAC" w14:textId="7D3B8F2C" w:rsidR="00F708EB" w:rsidRPr="00CF66DC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E08AE6" w14:textId="70F077DA" w:rsidR="00F708EB" w:rsidRPr="00CF66DC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DD9" w14:paraId="76CB1F95" w14:textId="77777777" w:rsidTr="00B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0B37B0" w14:textId="77777777" w:rsidR="00F708EB" w:rsidRPr="009638B4" w:rsidRDefault="00F708EB" w:rsidP="00B66C2D">
            <w:pPr>
              <w:rPr>
                <w:b w:val="0"/>
              </w:rPr>
            </w:pPr>
            <w:r>
              <w:rPr>
                <w:b w:val="0"/>
              </w:rPr>
              <w:t xml:space="preserve">Stonehenge </w:t>
            </w:r>
            <w:proofErr w:type="spellStart"/>
            <w:r>
              <w:rPr>
                <w:b w:val="0"/>
              </w:rPr>
              <w:t>debitage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642232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80A80A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B533C" w14:textId="5432E38D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462.</w:t>
            </w:r>
            <w:r w:rsidR="00B010C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750934" w14:textId="3F506DB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D833F2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EED2A7" w14:textId="0B8DE8FD" w:rsidR="00F708EB" w:rsidRDefault="00F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  <w:r w:rsidR="00D833F2"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14246F" w14:textId="5E2FEDC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</w:t>
            </w:r>
            <w:r w:rsidR="00D833F2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6B960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265E1" w14:textId="77777777" w:rsidR="00F708EB" w:rsidRDefault="00F708EB" w:rsidP="00B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5/6</w:t>
            </w:r>
          </w:p>
        </w:tc>
      </w:tr>
      <w:tr w:rsidR="00111DD9" w14:paraId="0ED04B9C" w14:textId="77777777" w:rsidTr="00B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698795D5" w14:textId="77777777" w:rsidR="00F708EB" w:rsidRPr="009638B4" w:rsidRDefault="00F708EB" w:rsidP="00B66C2D">
            <w:pPr>
              <w:rPr>
                <w:b w:val="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118C0325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43615219" w14:textId="6495530C" w:rsidR="00F708EB" w:rsidRDefault="00111DD9" w:rsidP="007F7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SH48d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079750A4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463.88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52FD68F6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5EB086D9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353218BC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5DEBBF55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38181451" w14:textId="77777777" w:rsidR="00F708EB" w:rsidRDefault="00F708EB" w:rsidP="00B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7/8</w:t>
            </w:r>
          </w:p>
        </w:tc>
      </w:tr>
    </w:tbl>
    <w:p w14:paraId="67F14D87" w14:textId="77777777" w:rsidR="00F708EB" w:rsidRDefault="00F708EB" w:rsidP="001C3B7C">
      <w:pPr>
        <w:spacing w:line="360" w:lineRule="auto"/>
        <w:jc w:val="both"/>
      </w:pPr>
    </w:p>
    <w:p w14:paraId="2F38142D" w14:textId="093D50D4" w:rsidR="002D3CA6" w:rsidRDefault="002147E0" w:rsidP="00424961">
      <w:pPr>
        <w:spacing w:line="360" w:lineRule="auto"/>
        <w:jc w:val="both"/>
      </w:pPr>
      <w:r>
        <w:t xml:space="preserve"> </w:t>
      </w:r>
      <w:r w:rsidR="00FF3F82">
        <w:t xml:space="preserve">   </w:t>
      </w:r>
      <w:r>
        <w:t>X represents the analytical error and should be applied to direct comparisons within this dataset. Y represents the analytical + tracer uncertainty, and z represents the analytical + tracer + decay constant uncertainty, and should be applied when making timescale comparisons</w:t>
      </w:r>
      <w:r w:rsidR="00633AEB">
        <w:t>, or comparisons with different studies.</w:t>
      </w:r>
      <w:r w:rsidR="00FF3F82">
        <w:t xml:space="preserve">  The default uncertainty used in this paper is Y, in other words the uncertainly appropriate to inter-laboratory comparison of U-</w:t>
      </w:r>
      <w:proofErr w:type="spellStart"/>
      <w:r w:rsidR="00FF3F82">
        <w:t>Pb</w:t>
      </w:r>
      <w:proofErr w:type="spellEnd"/>
      <w:r w:rsidR="00FF3F82">
        <w:t xml:space="preserve"> zircon sets. The larger uncertainties are appropriate </w:t>
      </w:r>
      <w:r w:rsidR="00971F30">
        <w:t>for comparison</w:t>
      </w:r>
      <w:r w:rsidR="00FF3F82">
        <w:t xml:space="preserve"> with other decay </w:t>
      </w:r>
      <w:r w:rsidR="002E4F4D">
        <w:t>system</w:t>
      </w:r>
      <w:r w:rsidR="00FF3F82">
        <w:t xml:space="preserve"> derived ages (e</w:t>
      </w:r>
      <w:r w:rsidR="003812E8">
        <w:t>.</w:t>
      </w:r>
      <w:r w:rsidR="00FF3F82">
        <w:t>g</w:t>
      </w:r>
      <w:r w:rsidR="003812E8">
        <w:t>.</w:t>
      </w:r>
      <w:r w:rsidR="00FF3F82">
        <w:t xml:space="preserve"> K-</w:t>
      </w:r>
      <w:proofErr w:type="spellStart"/>
      <w:r w:rsidR="00FF3F82">
        <w:t>Ar</w:t>
      </w:r>
      <w:proofErr w:type="spellEnd"/>
      <w:r w:rsidR="00FF3F82">
        <w:t xml:space="preserve">, </w:t>
      </w:r>
      <w:proofErr w:type="spellStart"/>
      <w:r w:rsidR="00FF3F82">
        <w:t>Rb-Sr</w:t>
      </w:r>
      <w:proofErr w:type="spellEnd"/>
      <w:r w:rsidR="00FF3F82">
        <w:t xml:space="preserve">). The discussion </w:t>
      </w:r>
      <w:r w:rsidR="00FF3F82">
        <w:lastRenderedPageBreak/>
        <w:t xml:space="preserve">of the match between the </w:t>
      </w:r>
      <w:proofErr w:type="spellStart"/>
      <w:r w:rsidR="00FF3F82">
        <w:t>debitage</w:t>
      </w:r>
      <w:proofErr w:type="spellEnd"/>
      <w:r w:rsidR="00FF3F82">
        <w:t xml:space="preserve"> and the potential source quarry is based on analytical uncertainties (type x) as this is a within laboratory data comparison</w:t>
      </w:r>
      <w:r w:rsidR="00111DD9">
        <w:t>.</w:t>
      </w:r>
      <w:r w:rsidR="00FF3F82">
        <w:t xml:space="preserve">   </w:t>
      </w:r>
    </w:p>
    <w:sectPr w:rsidR="002D3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C"/>
    <w:rsid w:val="00021094"/>
    <w:rsid w:val="00072B4C"/>
    <w:rsid w:val="00111DD9"/>
    <w:rsid w:val="001C3B7C"/>
    <w:rsid w:val="002147E0"/>
    <w:rsid w:val="002960EC"/>
    <w:rsid w:val="002B0269"/>
    <w:rsid w:val="002D20EA"/>
    <w:rsid w:val="002D3CA6"/>
    <w:rsid w:val="002E4F4D"/>
    <w:rsid w:val="00301F4C"/>
    <w:rsid w:val="00311B62"/>
    <w:rsid w:val="003155C9"/>
    <w:rsid w:val="003812E8"/>
    <w:rsid w:val="00393C3E"/>
    <w:rsid w:val="00424961"/>
    <w:rsid w:val="004478FE"/>
    <w:rsid w:val="0047682B"/>
    <w:rsid w:val="004E5E1B"/>
    <w:rsid w:val="005578CC"/>
    <w:rsid w:val="00582D32"/>
    <w:rsid w:val="00593277"/>
    <w:rsid w:val="00633AEB"/>
    <w:rsid w:val="006E444F"/>
    <w:rsid w:val="007009C9"/>
    <w:rsid w:val="0077238B"/>
    <w:rsid w:val="00796C4D"/>
    <w:rsid w:val="007D6EFC"/>
    <w:rsid w:val="007F7606"/>
    <w:rsid w:val="0086081E"/>
    <w:rsid w:val="00876282"/>
    <w:rsid w:val="00895BB5"/>
    <w:rsid w:val="008C027F"/>
    <w:rsid w:val="008F2E80"/>
    <w:rsid w:val="008F597A"/>
    <w:rsid w:val="0096302F"/>
    <w:rsid w:val="00971F30"/>
    <w:rsid w:val="00981539"/>
    <w:rsid w:val="009836EE"/>
    <w:rsid w:val="00A52F9B"/>
    <w:rsid w:val="00A752B0"/>
    <w:rsid w:val="00A80460"/>
    <w:rsid w:val="00B010CD"/>
    <w:rsid w:val="00B12DCD"/>
    <w:rsid w:val="00B70C2D"/>
    <w:rsid w:val="00B75117"/>
    <w:rsid w:val="00B87412"/>
    <w:rsid w:val="00BC56B1"/>
    <w:rsid w:val="00CB7285"/>
    <w:rsid w:val="00CF66DC"/>
    <w:rsid w:val="00CF7FC3"/>
    <w:rsid w:val="00D21D2E"/>
    <w:rsid w:val="00D833F2"/>
    <w:rsid w:val="00D85E16"/>
    <w:rsid w:val="00DD0A0E"/>
    <w:rsid w:val="00DD7A93"/>
    <w:rsid w:val="00EC2685"/>
    <w:rsid w:val="00F05D7D"/>
    <w:rsid w:val="00F64021"/>
    <w:rsid w:val="00F708EB"/>
    <w:rsid w:val="00F960C8"/>
    <w:rsid w:val="00FE5D1D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9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17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F708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17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F708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nwhite</dc:creator>
  <cp:lastModifiedBy>Patricia Pantos</cp:lastModifiedBy>
  <cp:revision>3</cp:revision>
  <cp:lastPrinted>2016-08-26T11:38:00Z</cp:lastPrinted>
  <dcterms:created xsi:type="dcterms:W3CDTF">2016-08-26T11:38:00Z</dcterms:created>
  <dcterms:modified xsi:type="dcterms:W3CDTF">2016-10-19T09:47:00Z</dcterms:modified>
</cp:coreProperties>
</file>