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3D" w:rsidRDefault="00B90C3D">
      <w:r>
        <w:t xml:space="preserve">Section S1 – Amalgamation ratio. </w:t>
      </w:r>
    </w:p>
    <w:p w:rsidR="00B90C3D" w:rsidRDefault="00B90C3D">
      <w:r>
        <w:t>The amalgamation ratio has been calculated for each study site. The amalgamation ratio within this paper is defined as the fraction of channel-belt bases that are in contact (i.e. amalgamated) with lower channel-belts</w:t>
      </w:r>
      <w:r w:rsidR="00E00677">
        <w:t xml:space="preserve">, modified from Zhang </w:t>
      </w:r>
      <w:r w:rsidR="00E00677">
        <w:rPr>
          <w:i/>
        </w:rPr>
        <w:t>et al</w:t>
      </w:r>
      <w:r w:rsidR="00E00677">
        <w:t>. (2013)</w:t>
      </w:r>
      <w:r>
        <w:t>. For each channel base the total length of channel-on-channel contact (blue in Fig</w:t>
      </w:r>
      <w:r w:rsidR="00F621BC">
        <w:t>.</w:t>
      </w:r>
      <w:r>
        <w:t xml:space="preserve"> S1.1) was divided by the total length of the channel base (red</w:t>
      </w:r>
      <w:r w:rsidR="00F621BC">
        <w:t xml:space="preserve"> vertical line</w:t>
      </w:r>
      <w:r>
        <w:t xml:space="preserve"> in Fig. S1.1). The sum of all channel-on-channel contacts within the panel were then divided by the sum of all channel base lengths, and then multiplied by 100 so that the amalgamation ratio within a panel could be expressed as a percentage</w:t>
      </w:r>
      <w:r w:rsidR="00F621BC">
        <w:t>. T</w:t>
      </w:r>
      <w:r>
        <w:t xml:space="preserve">able </w:t>
      </w:r>
      <w:r w:rsidR="00F621BC">
        <w:t xml:space="preserve">S1 </w:t>
      </w:r>
      <w:r>
        <w:t xml:space="preserve">shows the calculations for each site. </w:t>
      </w:r>
    </w:p>
    <w:tbl>
      <w:tblPr>
        <w:tblStyle w:val="TableGrid"/>
        <w:tblW w:w="0" w:type="auto"/>
        <w:tblInd w:w="1482" w:type="dxa"/>
        <w:tblLayout w:type="fixed"/>
        <w:tblLook w:val="04A0" w:firstRow="1" w:lastRow="0" w:firstColumn="1" w:lastColumn="0" w:noHBand="0" w:noVBand="1"/>
      </w:tblPr>
      <w:tblGrid>
        <w:gridCol w:w="1027"/>
        <w:gridCol w:w="1455"/>
        <w:gridCol w:w="915"/>
        <w:gridCol w:w="1418"/>
        <w:gridCol w:w="2770"/>
      </w:tblGrid>
      <w:tr w:rsidR="002C649D" w:rsidTr="00E00677">
        <w:tc>
          <w:tcPr>
            <w:tcW w:w="1027" w:type="dxa"/>
          </w:tcPr>
          <w:p w:rsidR="002C649D" w:rsidRDefault="002C649D" w:rsidP="00E00677">
            <w:pPr>
              <w:jc w:val="center"/>
            </w:pPr>
          </w:p>
        </w:tc>
        <w:tc>
          <w:tcPr>
            <w:tcW w:w="1455" w:type="dxa"/>
          </w:tcPr>
          <w:p w:rsidR="002C649D" w:rsidRPr="002C649D" w:rsidRDefault="002C649D" w:rsidP="00E00677">
            <w:pPr>
              <w:jc w:val="center"/>
              <w:rPr>
                <w:b/>
              </w:rPr>
            </w:pPr>
            <w:r w:rsidRPr="002C649D">
              <w:rPr>
                <w:b/>
              </w:rPr>
              <w:t>Sandstone body</w:t>
            </w:r>
          </w:p>
        </w:tc>
        <w:tc>
          <w:tcPr>
            <w:tcW w:w="915" w:type="dxa"/>
          </w:tcPr>
          <w:p w:rsidR="002C649D" w:rsidRPr="002C649D" w:rsidRDefault="002C649D" w:rsidP="00E00677">
            <w:pPr>
              <w:jc w:val="center"/>
              <w:rPr>
                <w:b/>
              </w:rPr>
            </w:pPr>
            <w:r w:rsidRPr="002C649D">
              <w:rPr>
                <w:b/>
              </w:rPr>
              <w:t>Total Sandstone body length (m)</w:t>
            </w:r>
          </w:p>
        </w:tc>
        <w:tc>
          <w:tcPr>
            <w:tcW w:w="1418" w:type="dxa"/>
          </w:tcPr>
          <w:p w:rsidR="002C649D" w:rsidRPr="002C649D" w:rsidRDefault="002C649D" w:rsidP="00E00677">
            <w:pPr>
              <w:jc w:val="center"/>
              <w:rPr>
                <w:b/>
              </w:rPr>
            </w:pPr>
            <w:r w:rsidRPr="002C649D">
              <w:rPr>
                <w:b/>
              </w:rPr>
              <w:t>Channel-on-channel contact length (m)</w:t>
            </w:r>
          </w:p>
        </w:tc>
        <w:tc>
          <w:tcPr>
            <w:tcW w:w="2770" w:type="dxa"/>
          </w:tcPr>
          <w:p w:rsidR="002C649D" w:rsidRDefault="002C649D" w:rsidP="00E00677">
            <w:pPr>
              <w:jc w:val="center"/>
              <w:rPr>
                <w:b/>
              </w:rPr>
            </w:pPr>
            <w:r w:rsidRPr="002C649D">
              <w:rPr>
                <w:b/>
              </w:rPr>
              <w:t>Amalgamation ratio (%)</w:t>
            </w:r>
          </w:p>
          <w:p w:rsidR="00E00677" w:rsidRPr="00E00677" w:rsidRDefault="00E00677" w:rsidP="00307510">
            <w:pPr>
              <w:jc w:val="center"/>
            </w:pPr>
            <w:r w:rsidRPr="00E00677">
              <w:t>(length</w:t>
            </w:r>
            <w:r w:rsidR="00307510">
              <w:t xml:space="preserve"> of channel-on-channel contact / Total channel belt length, </w:t>
            </w:r>
            <w:r w:rsidRPr="00E00677">
              <w:t>X 100)</w:t>
            </w:r>
          </w:p>
        </w:tc>
      </w:tr>
      <w:tr w:rsidR="002C649D" w:rsidTr="00E00677">
        <w:tc>
          <w:tcPr>
            <w:tcW w:w="1027" w:type="dxa"/>
          </w:tcPr>
          <w:p w:rsidR="002C649D" w:rsidRPr="002C649D" w:rsidRDefault="002C649D" w:rsidP="00E00677">
            <w:pPr>
              <w:jc w:val="center"/>
              <w:rPr>
                <w:b/>
              </w:rPr>
            </w:pPr>
            <w:r w:rsidRPr="002C649D">
              <w:rPr>
                <w:b/>
              </w:rPr>
              <w:t>Proximal</w:t>
            </w:r>
          </w:p>
        </w:tc>
        <w:tc>
          <w:tcPr>
            <w:tcW w:w="1455" w:type="dxa"/>
          </w:tcPr>
          <w:p w:rsidR="002C649D" w:rsidRDefault="002C649D" w:rsidP="00E00677">
            <w:pPr>
              <w:jc w:val="center"/>
            </w:pPr>
            <w:r>
              <w:t>1</w:t>
            </w:r>
          </w:p>
        </w:tc>
        <w:tc>
          <w:tcPr>
            <w:tcW w:w="915" w:type="dxa"/>
          </w:tcPr>
          <w:p w:rsidR="002C649D" w:rsidRDefault="002C649D" w:rsidP="00E00677">
            <w:pPr>
              <w:jc w:val="center"/>
            </w:pPr>
            <w:r>
              <w:t>375</w:t>
            </w:r>
          </w:p>
        </w:tc>
        <w:tc>
          <w:tcPr>
            <w:tcW w:w="1418" w:type="dxa"/>
          </w:tcPr>
          <w:p w:rsidR="002C649D" w:rsidRDefault="002C649D" w:rsidP="00E00677">
            <w:pPr>
              <w:jc w:val="center"/>
            </w:pPr>
            <w:r>
              <w:t>139</w:t>
            </w:r>
          </w:p>
        </w:tc>
        <w:tc>
          <w:tcPr>
            <w:tcW w:w="2770" w:type="dxa"/>
          </w:tcPr>
          <w:p w:rsidR="002C649D" w:rsidRDefault="002C649D" w:rsidP="00E00677">
            <w:pPr>
              <w:jc w:val="center"/>
            </w:pPr>
            <w:r>
              <w:t>37</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2</w:t>
            </w:r>
          </w:p>
        </w:tc>
        <w:tc>
          <w:tcPr>
            <w:tcW w:w="915" w:type="dxa"/>
          </w:tcPr>
          <w:p w:rsidR="002C649D" w:rsidRDefault="002C649D" w:rsidP="00E00677">
            <w:pPr>
              <w:jc w:val="center"/>
            </w:pPr>
            <w:r>
              <w:t>500</w:t>
            </w:r>
          </w:p>
        </w:tc>
        <w:tc>
          <w:tcPr>
            <w:tcW w:w="1418" w:type="dxa"/>
          </w:tcPr>
          <w:p w:rsidR="002C649D" w:rsidRDefault="002C649D" w:rsidP="00E00677">
            <w:pPr>
              <w:jc w:val="center"/>
            </w:pPr>
            <w:r>
              <w:t>205</w:t>
            </w:r>
          </w:p>
        </w:tc>
        <w:tc>
          <w:tcPr>
            <w:tcW w:w="2770" w:type="dxa"/>
          </w:tcPr>
          <w:p w:rsidR="002C649D" w:rsidRDefault="002C649D" w:rsidP="00E00677">
            <w:pPr>
              <w:jc w:val="center"/>
            </w:pPr>
            <w:r>
              <w:t>41</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3</w:t>
            </w:r>
          </w:p>
        </w:tc>
        <w:tc>
          <w:tcPr>
            <w:tcW w:w="915" w:type="dxa"/>
          </w:tcPr>
          <w:p w:rsidR="002C649D" w:rsidRDefault="002C649D" w:rsidP="00E00677">
            <w:pPr>
              <w:jc w:val="center"/>
            </w:pPr>
            <w:r>
              <w:t>500</w:t>
            </w:r>
          </w:p>
        </w:tc>
        <w:tc>
          <w:tcPr>
            <w:tcW w:w="1418" w:type="dxa"/>
          </w:tcPr>
          <w:p w:rsidR="002C649D" w:rsidRDefault="002C649D" w:rsidP="00E00677">
            <w:pPr>
              <w:jc w:val="center"/>
            </w:pPr>
            <w:r>
              <w:t>340</w:t>
            </w:r>
          </w:p>
        </w:tc>
        <w:tc>
          <w:tcPr>
            <w:tcW w:w="2770" w:type="dxa"/>
          </w:tcPr>
          <w:p w:rsidR="002C649D" w:rsidRDefault="002C649D" w:rsidP="00E00677">
            <w:pPr>
              <w:jc w:val="center"/>
            </w:pPr>
            <w:r>
              <w:t>68</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4</w:t>
            </w:r>
          </w:p>
        </w:tc>
        <w:tc>
          <w:tcPr>
            <w:tcW w:w="915" w:type="dxa"/>
          </w:tcPr>
          <w:p w:rsidR="002C649D" w:rsidRDefault="002C649D" w:rsidP="00E00677">
            <w:pPr>
              <w:jc w:val="center"/>
            </w:pPr>
            <w:r>
              <w:t>500</w:t>
            </w:r>
          </w:p>
        </w:tc>
        <w:tc>
          <w:tcPr>
            <w:tcW w:w="1418" w:type="dxa"/>
          </w:tcPr>
          <w:p w:rsidR="002C649D" w:rsidRDefault="002C649D" w:rsidP="00E00677">
            <w:pPr>
              <w:jc w:val="center"/>
            </w:pPr>
            <w:r>
              <w:t>205</w:t>
            </w:r>
          </w:p>
        </w:tc>
        <w:tc>
          <w:tcPr>
            <w:tcW w:w="2770" w:type="dxa"/>
          </w:tcPr>
          <w:p w:rsidR="002C649D" w:rsidRDefault="002C649D" w:rsidP="00E00677">
            <w:pPr>
              <w:jc w:val="center"/>
            </w:pPr>
            <w:r>
              <w:t>41</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5</w:t>
            </w:r>
          </w:p>
        </w:tc>
        <w:tc>
          <w:tcPr>
            <w:tcW w:w="915" w:type="dxa"/>
          </w:tcPr>
          <w:p w:rsidR="002C649D" w:rsidRDefault="002C649D" w:rsidP="00E00677">
            <w:pPr>
              <w:jc w:val="center"/>
            </w:pPr>
            <w:r>
              <w:t>500</w:t>
            </w:r>
          </w:p>
        </w:tc>
        <w:tc>
          <w:tcPr>
            <w:tcW w:w="1418" w:type="dxa"/>
          </w:tcPr>
          <w:p w:rsidR="002C649D" w:rsidRDefault="002C649D" w:rsidP="00E00677">
            <w:pPr>
              <w:jc w:val="center"/>
            </w:pPr>
            <w:r>
              <w:t>50</w:t>
            </w:r>
          </w:p>
        </w:tc>
        <w:tc>
          <w:tcPr>
            <w:tcW w:w="2770" w:type="dxa"/>
          </w:tcPr>
          <w:p w:rsidR="002C649D" w:rsidRDefault="002C649D" w:rsidP="00E00677">
            <w:pPr>
              <w:jc w:val="center"/>
            </w:pPr>
            <w:r>
              <w:t>10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6</w:t>
            </w:r>
          </w:p>
        </w:tc>
        <w:tc>
          <w:tcPr>
            <w:tcW w:w="915" w:type="dxa"/>
          </w:tcPr>
          <w:p w:rsidR="002C649D" w:rsidRDefault="002C649D" w:rsidP="00E00677">
            <w:pPr>
              <w:jc w:val="center"/>
            </w:pPr>
            <w:r>
              <w:t>300</w:t>
            </w:r>
          </w:p>
        </w:tc>
        <w:tc>
          <w:tcPr>
            <w:tcW w:w="1418" w:type="dxa"/>
          </w:tcPr>
          <w:p w:rsidR="002C649D" w:rsidRDefault="002C649D" w:rsidP="00E00677">
            <w:pPr>
              <w:jc w:val="center"/>
            </w:pPr>
            <w:r>
              <w:t>87</w:t>
            </w:r>
          </w:p>
        </w:tc>
        <w:tc>
          <w:tcPr>
            <w:tcW w:w="2770" w:type="dxa"/>
          </w:tcPr>
          <w:p w:rsidR="002C649D" w:rsidRDefault="002C649D" w:rsidP="00E00677">
            <w:pPr>
              <w:jc w:val="center"/>
            </w:pPr>
            <w:r>
              <w:t>29</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7</w:t>
            </w:r>
          </w:p>
        </w:tc>
        <w:tc>
          <w:tcPr>
            <w:tcW w:w="915" w:type="dxa"/>
          </w:tcPr>
          <w:p w:rsidR="002C649D" w:rsidRDefault="002C649D" w:rsidP="00E00677">
            <w:pPr>
              <w:jc w:val="center"/>
            </w:pPr>
            <w:r>
              <w:t>475</w:t>
            </w:r>
          </w:p>
        </w:tc>
        <w:tc>
          <w:tcPr>
            <w:tcW w:w="1418" w:type="dxa"/>
          </w:tcPr>
          <w:p w:rsidR="002C649D" w:rsidRDefault="002C649D" w:rsidP="00E00677">
            <w:pPr>
              <w:jc w:val="center"/>
            </w:pPr>
            <w:r>
              <w:t>38</w:t>
            </w:r>
          </w:p>
        </w:tc>
        <w:tc>
          <w:tcPr>
            <w:tcW w:w="2770" w:type="dxa"/>
          </w:tcPr>
          <w:p w:rsidR="002C649D" w:rsidRDefault="002C649D" w:rsidP="00E00677">
            <w:pPr>
              <w:jc w:val="center"/>
            </w:pPr>
            <w:r>
              <w:t>8</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8</w:t>
            </w:r>
          </w:p>
        </w:tc>
        <w:tc>
          <w:tcPr>
            <w:tcW w:w="915" w:type="dxa"/>
          </w:tcPr>
          <w:p w:rsidR="002C649D" w:rsidRDefault="002C649D" w:rsidP="00E00677">
            <w:pPr>
              <w:jc w:val="center"/>
            </w:pPr>
            <w:r>
              <w:t>500</w:t>
            </w:r>
          </w:p>
        </w:tc>
        <w:tc>
          <w:tcPr>
            <w:tcW w:w="1418" w:type="dxa"/>
          </w:tcPr>
          <w:p w:rsidR="002C649D" w:rsidRDefault="002C649D" w:rsidP="00E00677">
            <w:pPr>
              <w:jc w:val="center"/>
            </w:pPr>
            <w:r>
              <w:t>500</w:t>
            </w:r>
          </w:p>
        </w:tc>
        <w:tc>
          <w:tcPr>
            <w:tcW w:w="2770" w:type="dxa"/>
          </w:tcPr>
          <w:p w:rsidR="002C649D" w:rsidRDefault="002C649D" w:rsidP="00E00677">
            <w:pPr>
              <w:jc w:val="center"/>
            </w:pPr>
            <w:r>
              <w:t>100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9</w:t>
            </w:r>
          </w:p>
        </w:tc>
        <w:tc>
          <w:tcPr>
            <w:tcW w:w="915" w:type="dxa"/>
          </w:tcPr>
          <w:p w:rsidR="002C649D" w:rsidRDefault="002C649D" w:rsidP="00E00677">
            <w:pPr>
              <w:jc w:val="center"/>
            </w:pPr>
            <w:r>
              <w:t>500</w:t>
            </w:r>
          </w:p>
        </w:tc>
        <w:tc>
          <w:tcPr>
            <w:tcW w:w="1418" w:type="dxa"/>
          </w:tcPr>
          <w:p w:rsidR="002C649D" w:rsidRDefault="002C649D" w:rsidP="00E00677">
            <w:pPr>
              <w:jc w:val="center"/>
            </w:pPr>
            <w:r>
              <w:t>0</w:t>
            </w:r>
          </w:p>
        </w:tc>
        <w:tc>
          <w:tcPr>
            <w:tcW w:w="2770" w:type="dxa"/>
          </w:tcPr>
          <w:p w:rsidR="002C649D" w:rsidRDefault="002C649D"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E00677" w:rsidP="00E00677">
            <w:pPr>
              <w:jc w:val="center"/>
            </w:pPr>
            <w:r>
              <w:t>Whole panel</w:t>
            </w:r>
          </w:p>
        </w:tc>
        <w:tc>
          <w:tcPr>
            <w:tcW w:w="915" w:type="dxa"/>
          </w:tcPr>
          <w:p w:rsidR="002C649D" w:rsidRPr="002C649D" w:rsidRDefault="002C649D" w:rsidP="00E00677">
            <w:pPr>
              <w:jc w:val="center"/>
              <w:rPr>
                <w:color w:val="FF0000"/>
              </w:rPr>
            </w:pPr>
            <w:r w:rsidRPr="002C649D">
              <w:rPr>
                <w:color w:val="FF0000"/>
              </w:rPr>
              <w:t>4150</w:t>
            </w:r>
          </w:p>
        </w:tc>
        <w:tc>
          <w:tcPr>
            <w:tcW w:w="1418" w:type="dxa"/>
          </w:tcPr>
          <w:p w:rsidR="002C649D" w:rsidRPr="002C649D" w:rsidRDefault="002C649D" w:rsidP="00E00677">
            <w:pPr>
              <w:jc w:val="center"/>
              <w:rPr>
                <w:color w:val="FF0000"/>
              </w:rPr>
            </w:pPr>
            <w:r w:rsidRPr="002C649D">
              <w:rPr>
                <w:color w:val="FF0000"/>
              </w:rPr>
              <w:t>1564</w:t>
            </w:r>
          </w:p>
        </w:tc>
        <w:tc>
          <w:tcPr>
            <w:tcW w:w="2770" w:type="dxa"/>
          </w:tcPr>
          <w:p w:rsidR="002C649D" w:rsidRPr="002C649D" w:rsidRDefault="002C649D" w:rsidP="00E00677">
            <w:pPr>
              <w:jc w:val="center"/>
              <w:rPr>
                <w:color w:val="FF0000"/>
              </w:rPr>
            </w:pPr>
            <w:r w:rsidRPr="002C649D">
              <w:rPr>
                <w:color w:val="FF0000"/>
              </w:rPr>
              <w:t>38</w:t>
            </w:r>
          </w:p>
        </w:tc>
      </w:tr>
      <w:tr w:rsidR="002C649D" w:rsidTr="00E00677">
        <w:tc>
          <w:tcPr>
            <w:tcW w:w="1027" w:type="dxa"/>
          </w:tcPr>
          <w:p w:rsidR="002C649D" w:rsidRPr="002C649D" w:rsidRDefault="002C649D" w:rsidP="00E00677">
            <w:pPr>
              <w:jc w:val="center"/>
              <w:rPr>
                <w:b/>
              </w:rPr>
            </w:pPr>
            <w:r w:rsidRPr="002C649D">
              <w:rPr>
                <w:b/>
              </w:rPr>
              <w:t>Medial</w:t>
            </w:r>
          </w:p>
        </w:tc>
        <w:tc>
          <w:tcPr>
            <w:tcW w:w="1455" w:type="dxa"/>
          </w:tcPr>
          <w:p w:rsidR="002C649D" w:rsidRDefault="002C649D" w:rsidP="00E00677">
            <w:pPr>
              <w:jc w:val="center"/>
            </w:pPr>
            <w:r>
              <w:t>1</w:t>
            </w:r>
          </w:p>
        </w:tc>
        <w:tc>
          <w:tcPr>
            <w:tcW w:w="915" w:type="dxa"/>
          </w:tcPr>
          <w:p w:rsidR="002C649D" w:rsidRDefault="002C649D" w:rsidP="00E00677">
            <w:pPr>
              <w:jc w:val="center"/>
            </w:pPr>
            <w:r>
              <w:t>900</w:t>
            </w:r>
          </w:p>
        </w:tc>
        <w:tc>
          <w:tcPr>
            <w:tcW w:w="1418" w:type="dxa"/>
          </w:tcPr>
          <w:p w:rsidR="002C649D" w:rsidRDefault="00E00677" w:rsidP="00E00677">
            <w:pPr>
              <w:jc w:val="center"/>
            </w:pPr>
            <w:r>
              <w:t>567</w:t>
            </w:r>
          </w:p>
        </w:tc>
        <w:tc>
          <w:tcPr>
            <w:tcW w:w="2770" w:type="dxa"/>
          </w:tcPr>
          <w:p w:rsidR="002C649D" w:rsidRDefault="00E00677" w:rsidP="00E00677">
            <w:pPr>
              <w:jc w:val="center"/>
            </w:pPr>
            <w:r>
              <w:t>63</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2</w:t>
            </w:r>
          </w:p>
        </w:tc>
        <w:tc>
          <w:tcPr>
            <w:tcW w:w="915" w:type="dxa"/>
          </w:tcPr>
          <w:p w:rsidR="002C649D" w:rsidRDefault="002C649D" w:rsidP="00E00677">
            <w:pPr>
              <w:jc w:val="center"/>
            </w:pPr>
            <w:r>
              <w:t>900</w:t>
            </w:r>
          </w:p>
        </w:tc>
        <w:tc>
          <w:tcPr>
            <w:tcW w:w="1418" w:type="dxa"/>
          </w:tcPr>
          <w:p w:rsidR="002C649D" w:rsidRDefault="00E00677" w:rsidP="00E00677">
            <w:pPr>
              <w:jc w:val="center"/>
            </w:pPr>
            <w:r>
              <w:t>0</w:t>
            </w:r>
          </w:p>
        </w:tc>
        <w:tc>
          <w:tcPr>
            <w:tcW w:w="2770" w:type="dxa"/>
          </w:tcPr>
          <w:p w:rsidR="002C649D" w:rsidRDefault="00E00677"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3</w:t>
            </w:r>
          </w:p>
        </w:tc>
        <w:tc>
          <w:tcPr>
            <w:tcW w:w="915" w:type="dxa"/>
          </w:tcPr>
          <w:p w:rsidR="002C649D" w:rsidRDefault="002C649D" w:rsidP="00E00677">
            <w:pPr>
              <w:jc w:val="center"/>
            </w:pPr>
            <w:r>
              <w:t>900</w:t>
            </w:r>
          </w:p>
        </w:tc>
        <w:tc>
          <w:tcPr>
            <w:tcW w:w="1418" w:type="dxa"/>
          </w:tcPr>
          <w:p w:rsidR="002C649D" w:rsidRDefault="00E00677" w:rsidP="00E00677">
            <w:pPr>
              <w:jc w:val="center"/>
            </w:pPr>
            <w:r>
              <w:t>90</w:t>
            </w:r>
          </w:p>
        </w:tc>
        <w:tc>
          <w:tcPr>
            <w:tcW w:w="2770" w:type="dxa"/>
          </w:tcPr>
          <w:p w:rsidR="002C649D" w:rsidRDefault="00E00677" w:rsidP="00E00677">
            <w:pPr>
              <w:jc w:val="center"/>
            </w:pPr>
            <w:r>
              <w:t>10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4</w:t>
            </w:r>
          </w:p>
        </w:tc>
        <w:tc>
          <w:tcPr>
            <w:tcW w:w="915" w:type="dxa"/>
          </w:tcPr>
          <w:p w:rsidR="002C649D" w:rsidRDefault="002C649D" w:rsidP="00E00677">
            <w:pPr>
              <w:jc w:val="center"/>
            </w:pPr>
            <w:r>
              <w:t>900</w:t>
            </w:r>
          </w:p>
        </w:tc>
        <w:tc>
          <w:tcPr>
            <w:tcW w:w="1418" w:type="dxa"/>
          </w:tcPr>
          <w:p w:rsidR="002C649D" w:rsidRDefault="00E00677" w:rsidP="00E00677">
            <w:pPr>
              <w:jc w:val="center"/>
            </w:pPr>
            <w:r>
              <w:t>0</w:t>
            </w:r>
          </w:p>
        </w:tc>
        <w:tc>
          <w:tcPr>
            <w:tcW w:w="2770" w:type="dxa"/>
          </w:tcPr>
          <w:p w:rsidR="002C649D" w:rsidRDefault="00E00677"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5</w:t>
            </w:r>
          </w:p>
        </w:tc>
        <w:tc>
          <w:tcPr>
            <w:tcW w:w="915" w:type="dxa"/>
          </w:tcPr>
          <w:p w:rsidR="002C649D" w:rsidRDefault="002C649D" w:rsidP="00E00677">
            <w:pPr>
              <w:jc w:val="center"/>
            </w:pPr>
            <w:r>
              <w:t>900</w:t>
            </w:r>
          </w:p>
        </w:tc>
        <w:tc>
          <w:tcPr>
            <w:tcW w:w="1418" w:type="dxa"/>
          </w:tcPr>
          <w:p w:rsidR="002C649D" w:rsidRDefault="00E00677" w:rsidP="00E00677">
            <w:pPr>
              <w:jc w:val="center"/>
            </w:pPr>
            <w:r>
              <w:t>0</w:t>
            </w:r>
          </w:p>
        </w:tc>
        <w:tc>
          <w:tcPr>
            <w:tcW w:w="2770" w:type="dxa"/>
          </w:tcPr>
          <w:p w:rsidR="002C649D" w:rsidRDefault="00E00677"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6</w:t>
            </w:r>
          </w:p>
        </w:tc>
        <w:tc>
          <w:tcPr>
            <w:tcW w:w="915" w:type="dxa"/>
          </w:tcPr>
          <w:p w:rsidR="002C649D" w:rsidRDefault="002C649D" w:rsidP="00E00677">
            <w:pPr>
              <w:jc w:val="center"/>
            </w:pPr>
            <w:r>
              <w:t>300</w:t>
            </w:r>
          </w:p>
        </w:tc>
        <w:tc>
          <w:tcPr>
            <w:tcW w:w="1418" w:type="dxa"/>
          </w:tcPr>
          <w:p w:rsidR="002C649D" w:rsidRDefault="00E00677" w:rsidP="00E00677">
            <w:pPr>
              <w:jc w:val="center"/>
            </w:pPr>
            <w:r>
              <w:t>0</w:t>
            </w:r>
          </w:p>
        </w:tc>
        <w:tc>
          <w:tcPr>
            <w:tcW w:w="2770" w:type="dxa"/>
          </w:tcPr>
          <w:p w:rsidR="002C649D" w:rsidRDefault="00E00677"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2C649D" w:rsidP="00E00677">
            <w:pPr>
              <w:jc w:val="center"/>
            </w:pPr>
            <w:r>
              <w:t>7</w:t>
            </w:r>
          </w:p>
        </w:tc>
        <w:tc>
          <w:tcPr>
            <w:tcW w:w="915" w:type="dxa"/>
          </w:tcPr>
          <w:p w:rsidR="002C649D" w:rsidRDefault="002C649D" w:rsidP="00E00677">
            <w:pPr>
              <w:jc w:val="center"/>
            </w:pPr>
            <w:r>
              <w:t>900</w:t>
            </w:r>
          </w:p>
        </w:tc>
        <w:tc>
          <w:tcPr>
            <w:tcW w:w="1418" w:type="dxa"/>
          </w:tcPr>
          <w:p w:rsidR="002C649D" w:rsidRDefault="00E00677" w:rsidP="00E00677">
            <w:pPr>
              <w:jc w:val="center"/>
            </w:pPr>
            <w:r>
              <w:t>0</w:t>
            </w:r>
          </w:p>
        </w:tc>
        <w:tc>
          <w:tcPr>
            <w:tcW w:w="2770" w:type="dxa"/>
          </w:tcPr>
          <w:p w:rsidR="002C649D" w:rsidRDefault="00E00677" w:rsidP="00E00677">
            <w:pPr>
              <w:jc w:val="center"/>
            </w:pPr>
            <w:r>
              <w:t>0</w:t>
            </w:r>
          </w:p>
        </w:tc>
      </w:tr>
      <w:tr w:rsidR="002C649D" w:rsidTr="00E00677">
        <w:tc>
          <w:tcPr>
            <w:tcW w:w="1027" w:type="dxa"/>
          </w:tcPr>
          <w:p w:rsidR="002C649D" w:rsidRDefault="002C649D" w:rsidP="00E00677">
            <w:pPr>
              <w:jc w:val="center"/>
            </w:pPr>
          </w:p>
        </w:tc>
        <w:tc>
          <w:tcPr>
            <w:tcW w:w="1455" w:type="dxa"/>
          </w:tcPr>
          <w:p w:rsidR="002C649D" w:rsidRDefault="00E00677" w:rsidP="00E00677">
            <w:pPr>
              <w:jc w:val="center"/>
            </w:pPr>
            <w:r>
              <w:t>Whole panel</w:t>
            </w:r>
          </w:p>
        </w:tc>
        <w:tc>
          <w:tcPr>
            <w:tcW w:w="915" w:type="dxa"/>
          </w:tcPr>
          <w:p w:rsidR="002C649D" w:rsidRPr="00E00677" w:rsidRDefault="002C649D" w:rsidP="00E00677">
            <w:pPr>
              <w:jc w:val="center"/>
              <w:rPr>
                <w:color w:val="FF0000"/>
              </w:rPr>
            </w:pPr>
            <w:r w:rsidRPr="00E00677">
              <w:rPr>
                <w:color w:val="FF0000"/>
              </w:rPr>
              <w:t>5700</w:t>
            </w:r>
          </w:p>
        </w:tc>
        <w:tc>
          <w:tcPr>
            <w:tcW w:w="1418" w:type="dxa"/>
          </w:tcPr>
          <w:p w:rsidR="002C649D" w:rsidRPr="00E00677" w:rsidRDefault="002C649D" w:rsidP="00E00677">
            <w:pPr>
              <w:jc w:val="center"/>
              <w:rPr>
                <w:color w:val="FF0000"/>
              </w:rPr>
            </w:pPr>
            <w:r w:rsidRPr="00E00677">
              <w:rPr>
                <w:color w:val="FF0000"/>
              </w:rPr>
              <w:t>657</w:t>
            </w:r>
          </w:p>
        </w:tc>
        <w:tc>
          <w:tcPr>
            <w:tcW w:w="2770" w:type="dxa"/>
          </w:tcPr>
          <w:p w:rsidR="002C649D" w:rsidRPr="00E00677" w:rsidRDefault="00E00677" w:rsidP="00E00677">
            <w:pPr>
              <w:jc w:val="center"/>
              <w:rPr>
                <w:color w:val="FF0000"/>
              </w:rPr>
            </w:pPr>
            <w:r w:rsidRPr="00E00677">
              <w:rPr>
                <w:color w:val="FF0000"/>
              </w:rPr>
              <w:t>12</w:t>
            </w:r>
          </w:p>
        </w:tc>
      </w:tr>
      <w:tr w:rsidR="00E00677" w:rsidTr="00E00677">
        <w:tc>
          <w:tcPr>
            <w:tcW w:w="1027" w:type="dxa"/>
          </w:tcPr>
          <w:p w:rsidR="00E00677" w:rsidRPr="002C649D" w:rsidRDefault="00E00677" w:rsidP="00E00677">
            <w:pPr>
              <w:jc w:val="center"/>
              <w:rPr>
                <w:b/>
              </w:rPr>
            </w:pPr>
            <w:r w:rsidRPr="002C649D">
              <w:rPr>
                <w:b/>
              </w:rPr>
              <w:t>Distal</w:t>
            </w:r>
          </w:p>
        </w:tc>
        <w:tc>
          <w:tcPr>
            <w:tcW w:w="6558" w:type="dxa"/>
            <w:gridSpan w:val="4"/>
          </w:tcPr>
          <w:p w:rsidR="00E00677" w:rsidRDefault="00E00677" w:rsidP="00E00677">
            <w:pPr>
              <w:jc w:val="center"/>
            </w:pPr>
            <w:r>
              <w:t>N/A. No amalgamation observed.</w:t>
            </w:r>
          </w:p>
        </w:tc>
      </w:tr>
    </w:tbl>
    <w:p w:rsidR="00B90C3D" w:rsidRDefault="00B90C3D"/>
    <w:p w:rsidR="00B90C3D" w:rsidRDefault="00E00677">
      <w:r>
        <w:t xml:space="preserve">Table S1. Table showing calculations for the amalgamation ratio for each site. Note that lengths are for the panels shown in Figure S1, not for the whole outcrop photo. </w:t>
      </w:r>
    </w:p>
    <w:p w:rsidR="00F621BC" w:rsidRDefault="00F621BC"/>
    <w:p w:rsidR="00F621BC" w:rsidRDefault="009E4DED">
      <w:r>
        <w:rPr>
          <w:noProof/>
          <w:lang w:eastAsia="en-GB"/>
        </w:rPr>
        <w:lastRenderedPageBreak/>
        <w:drawing>
          <wp:inline distT="0" distB="0" distL="0" distR="0">
            <wp:extent cx="5943600" cy="2586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tecture pane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586990"/>
                    </a:xfrm>
                    <a:prstGeom prst="rect">
                      <a:avLst/>
                    </a:prstGeom>
                  </pic:spPr>
                </pic:pic>
              </a:graphicData>
            </a:graphic>
          </wp:inline>
        </w:drawing>
      </w:r>
    </w:p>
    <w:p w:rsidR="00B90C3D" w:rsidRDefault="00B90C3D">
      <w:r>
        <w:t>Figure S1.1.</w:t>
      </w:r>
      <w:r w:rsidR="00F621BC">
        <w:t xml:space="preserve"> Panels for proximal, medial and distal locations on the Salt Wash DFS. See Figure 1A for location. Box on the photo panel indicates where the interpretation panel has been taken from. Red vertical line indicates where on the interpretation panel the number of </w:t>
      </w:r>
      <w:proofErr w:type="spellStart"/>
      <w:r w:rsidR="00F621BC">
        <w:t>sandbodies</w:t>
      </w:r>
      <w:proofErr w:type="spellEnd"/>
      <w:r w:rsidR="00F621BC">
        <w:t xml:space="preserve"> ha</w:t>
      </w:r>
      <w:r w:rsidR="00E00677">
        <w:t>s</w:t>
      </w:r>
      <w:r w:rsidR="00F621BC">
        <w:t xml:space="preserve"> been defined. See table S1 for statistics on each </w:t>
      </w:r>
      <w:proofErr w:type="spellStart"/>
      <w:r w:rsidR="00F621BC">
        <w:t>sandbody</w:t>
      </w:r>
      <w:proofErr w:type="spellEnd"/>
      <w:r w:rsidR="00F621BC">
        <w:t xml:space="preserve">. Numbers define the </w:t>
      </w:r>
      <w:proofErr w:type="spellStart"/>
      <w:r w:rsidR="00F621BC">
        <w:t>sandbody</w:t>
      </w:r>
      <w:proofErr w:type="spellEnd"/>
      <w:r w:rsidR="00F621BC">
        <w:t xml:space="preserve"> number in Table S1. Colour on the interpreted panels: yellow </w:t>
      </w:r>
      <w:bookmarkStart w:id="0" w:name="_GoBack"/>
      <w:bookmarkEnd w:id="0"/>
      <w:r w:rsidR="00F621BC">
        <w:t xml:space="preserve">= channel deposits, brown = floodplain, grey </w:t>
      </w:r>
      <w:r w:rsidR="00E00677">
        <w:t>=</w:t>
      </w:r>
      <w:r w:rsidR="00F621BC">
        <w:t xml:space="preserve"> no exposure. </w:t>
      </w:r>
    </w:p>
    <w:p w:rsidR="00E00677" w:rsidRDefault="00E00677">
      <w:r>
        <w:t xml:space="preserve"> </w:t>
      </w:r>
    </w:p>
    <w:sectPr w:rsidR="00E006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3D"/>
    <w:rsid w:val="002C649D"/>
    <w:rsid w:val="00307510"/>
    <w:rsid w:val="00484F93"/>
    <w:rsid w:val="009E4DED"/>
    <w:rsid w:val="00B90C3D"/>
    <w:rsid w:val="00CB7CE9"/>
    <w:rsid w:val="00E00677"/>
    <w:rsid w:val="00F621BC"/>
    <w:rsid w:val="00F8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351D-BA60-488E-8C2D-2BA3389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Amanda</dc:creator>
  <cp:keywords/>
  <dc:description/>
  <cp:lastModifiedBy>Owen, Amanda</cp:lastModifiedBy>
  <cp:revision>4</cp:revision>
  <dcterms:created xsi:type="dcterms:W3CDTF">2015-12-10T13:55:00Z</dcterms:created>
  <dcterms:modified xsi:type="dcterms:W3CDTF">2016-01-12T12:39:00Z</dcterms:modified>
</cp:coreProperties>
</file>