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82348" w14:textId="77777777" w:rsidR="00591644" w:rsidRPr="00A10D51" w:rsidRDefault="00591644" w:rsidP="00591644">
      <w:pPr>
        <w:spacing w:after="0" w:line="480" w:lineRule="auto"/>
        <w:jc w:val="center"/>
        <w:rPr>
          <w:rFonts w:ascii="Times New Roman" w:hAnsi="Times New Roman" w:cs="Times New Roman"/>
          <w:sz w:val="28"/>
          <w:szCs w:val="28"/>
        </w:rPr>
      </w:pPr>
      <w:r w:rsidRPr="00A10D51">
        <w:rPr>
          <w:rFonts w:ascii="Times New Roman" w:hAnsi="Times New Roman" w:cs="Times New Roman"/>
          <w:sz w:val="28"/>
          <w:szCs w:val="28"/>
        </w:rPr>
        <w:t>Supplemental Material For:</w:t>
      </w:r>
    </w:p>
    <w:p w14:paraId="2F5E4B56" w14:textId="77777777" w:rsidR="003542DC" w:rsidRPr="003542DC" w:rsidRDefault="003542DC" w:rsidP="003542DC">
      <w:pPr>
        <w:spacing w:line="480" w:lineRule="auto"/>
        <w:jc w:val="center"/>
        <w:rPr>
          <w:rFonts w:ascii="Times New Roman" w:hAnsi="Times New Roman" w:cs="Times New Roman"/>
          <w:b/>
          <w:sz w:val="28"/>
          <w:szCs w:val="28"/>
        </w:rPr>
      </w:pPr>
      <w:r w:rsidRPr="003542DC">
        <w:rPr>
          <w:rFonts w:ascii="Times New Roman" w:hAnsi="Times New Roman" w:cs="Times New Roman"/>
          <w:b/>
          <w:sz w:val="28"/>
          <w:szCs w:val="28"/>
        </w:rPr>
        <w:t xml:space="preserve">Transition to magma-driven rifting in the South Turkana </w:t>
      </w:r>
      <w:r w:rsidR="00B35CD6">
        <w:rPr>
          <w:rFonts w:ascii="Times New Roman" w:hAnsi="Times New Roman" w:cs="Times New Roman"/>
          <w:b/>
          <w:sz w:val="28"/>
          <w:szCs w:val="28"/>
        </w:rPr>
        <w:t>B</w:t>
      </w:r>
      <w:r w:rsidRPr="003542DC">
        <w:rPr>
          <w:rFonts w:ascii="Times New Roman" w:hAnsi="Times New Roman" w:cs="Times New Roman"/>
          <w:b/>
          <w:sz w:val="28"/>
          <w:szCs w:val="28"/>
        </w:rPr>
        <w:t>asin</w:t>
      </w:r>
      <w:r w:rsidR="00543EC2">
        <w:rPr>
          <w:rFonts w:ascii="Times New Roman" w:hAnsi="Times New Roman" w:cs="Times New Roman"/>
          <w:b/>
          <w:sz w:val="28"/>
          <w:szCs w:val="28"/>
        </w:rPr>
        <w:t>: Part 1</w:t>
      </w:r>
    </w:p>
    <w:p w14:paraId="4F7CF556" w14:textId="77777777" w:rsidR="00591644" w:rsidRPr="00591644" w:rsidRDefault="00591644" w:rsidP="00591644">
      <w:pPr>
        <w:spacing w:line="480" w:lineRule="auto"/>
        <w:jc w:val="center"/>
        <w:rPr>
          <w:rFonts w:ascii="Times New Roman" w:hAnsi="Times New Roman" w:cs="Times New Roman"/>
          <w:sz w:val="24"/>
          <w:szCs w:val="24"/>
        </w:rPr>
      </w:pPr>
      <w:r w:rsidRPr="00A10D51">
        <w:rPr>
          <w:rFonts w:ascii="Times New Roman" w:hAnsi="Times New Roman" w:cs="Times New Roman"/>
          <w:sz w:val="24"/>
          <w:szCs w:val="24"/>
        </w:rPr>
        <w:t>James. D. Muirhead</w:t>
      </w:r>
      <w:r w:rsidRPr="00A10D5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Pr="00A10D51">
        <w:rPr>
          <w:rFonts w:ascii="Times New Roman" w:hAnsi="Times New Roman" w:cs="Times New Roman"/>
          <w:sz w:val="24"/>
          <w:szCs w:val="24"/>
          <w:vertAlign w:val="subscript"/>
        </w:rPr>
        <w:t xml:space="preserve">, </w:t>
      </w:r>
      <w:r w:rsidRPr="00A10D51">
        <w:rPr>
          <w:rFonts w:ascii="Times New Roman" w:hAnsi="Times New Roman" w:cs="Times New Roman"/>
          <w:sz w:val="24"/>
          <w:szCs w:val="24"/>
        </w:rPr>
        <w:t>Christopher A. Scholz</w:t>
      </w:r>
      <w:r w:rsidR="00543EC2">
        <w:rPr>
          <w:rFonts w:ascii="Times New Roman" w:hAnsi="Times New Roman" w:cs="Times New Roman"/>
          <w:sz w:val="24"/>
          <w:szCs w:val="24"/>
          <w:vertAlign w:val="superscript"/>
        </w:rPr>
        <w:t>2</w:t>
      </w:r>
      <w:r>
        <w:rPr>
          <w:rFonts w:ascii="Times New Roman" w:hAnsi="Times New Roman" w:cs="Times New Roman"/>
          <w:sz w:val="24"/>
          <w:szCs w:val="24"/>
        </w:rPr>
        <w:t>, Tyrone Rooney</w:t>
      </w:r>
      <w:r w:rsidR="00FD181D">
        <w:rPr>
          <w:rFonts w:ascii="Times New Roman" w:hAnsi="Times New Roman" w:cs="Times New Roman"/>
          <w:sz w:val="24"/>
          <w:szCs w:val="24"/>
          <w:vertAlign w:val="superscript"/>
        </w:rPr>
        <w:t>3</w:t>
      </w:r>
    </w:p>
    <w:p w14:paraId="07DCCEF2" w14:textId="77777777" w:rsidR="00543EC2" w:rsidRPr="009966DB" w:rsidRDefault="00543EC2" w:rsidP="00543EC2">
      <w:pPr>
        <w:spacing w:after="0" w:line="480" w:lineRule="auto"/>
        <w:rPr>
          <w:rFonts w:ascii="Times New Roman" w:hAnsi="Times New Roman" w:cs="Times New Roman"/>
          <w:i/>
          <w:color w:val="000000" w:themeColor="text1"/>
        </w:rPr>
      </w:pPr>
      <w:r>
        <w:rPr>
          <w:rFonts w:ascii="Times New Roman" w:hAnsi="Times New Roman" w:cs="Times New Roman"/>
          <w:i/>
          <w:color w:val="000000" w:themeColor="text1"/>
          <w:vertAlign w:val="superscript"/>
        </w:rPr>
        <w:t>1</w:t>
      </w:r>
      <w:r>
        <w:rPr>
          <w:rFonts w:ascii="Times New Roman" w:hAnsi="Times New Roman" w:cs="Times New Roman"/>
          <w:i/>
          <w:color w:val="000000" w:themeColor="text1"/>
        </w:rPr>
        <w:t>School of Environment, University of Auckland, Auckland 1142, New Zealand</w:t>
      </w:r>
    </w:p>
    <w:p w14:paraId="3CFBC034" w14:textId="77777777" w:rsidR="00591644" w:rsidRPr="00224863" w:rsidRDefault="00543EC2" w:rsidP="00591644">
      <w:pPr>
        <w:spacing w:after="0" w:line="480" w:lineRule="auto"/>
        <w:rPr>
          <w:rFonts w:ascii="Times New Roman" w:hAnsi="Times New Roman" w:cs="Times New Roman"/>
          <w:i/>
          <w:color w:val="000000" w:themeColor="text1"/>
        </w:rPr>
      </w:pPr>
      <w:r>
        <w:rPr>
          <w:rFonts w:ascii="Times New Roman" w:hAnsi="Times New Roman" w:cs="Times New Roman"/>
          <w:i/>
          <w:color w:val="000000" w:themeColor="text1"/>
          <w:vertAlign w:val="superscript"/>
        </w:rPr>
        <w:t>2</w:t>
      </w:r>
      <w:r w:rsidR="00591644" w:rsidRPr="00224863">
        <w:rPr>
          <w:rFonts w:ascii="Times New Roman" w:hAnsi="Times New Roman" w:cs="Times New Roman"/>
          <w:i/>
          <w:color w:val="000000" w:themeColor="text1"/>
        </w:rPr>
        <w:t>Department of Earth Sciences, Syracuse University, Syracuse, New York 13244, USA</w:t>
      </w:r>
    </w:p>
    <w:p w14:paraId="21095DC3" w14:textId="77777777" w:rsidR="00224863" w:rsidRPr="00224863" w:rsidRDefault="00FD181D" w:rsidP="00591644">
      <w:pPr>
        <w:spacing w:after="0" w:line="480" w:lineRule="auto"/>
        <w:rPr>
          <w:rFonts w:ascii="Times New Roman" w:hAnsi="Times New Roman" w:cs="Times New Roman"/>
          <w:i/>
          <w:color w:val="000000" w:themeColor="text1"/>
        </w:rPr>
      </w:pPr>
      <w:r>
        <w:rPr>
          <w:rFonts w:ascii="Times New Roman" w:hAnsi="Times New Roman" w:cs="Times New Roman"/>
          <w:i/>
          <w:vertAlign w:val="superscript"/>
        </w:rPr>
        <w:t>3</w:t>
      </w:r>
      <w:r w:rsidR="00224863" w:rsidRPr="00224863">
        <w:rPr>
          <w:rFonts w:ascii="Times New Roman" w:hAnsi="Times New Roman" w:cs="Times New Roman"/>
          <w:i/>
        </w:rPr>
        <w:t>Dept. of Earth and Environmental Sciences, Michigan State University, East Lansing, MI 48823, USA</w:t>
      </w:r>
    </w:p>
    <w:p w14:paraId="7F5ED7A1" w14:textId="77777777" w:rsidR="00591644" w:rsidRPr="00224863" w:rsidRDefault="00591644" w:rsidP="00591644">
      <w:pPr>
        <w:widowControl w:val="0"/>
        <w:autoSpaceDE w:val="0"/>
        <w:autoSpaceDN w:val="0"/>
        <w:adjustRightInd w:val="0"/>
        <w:spacing w:after="0" w:line="480" w:lineRule="auto"/>
        <w:rPr>
          <w:rFonts w:ascii="Times New Roman" w:hAnsi="Times New Roman" w:cs="Times New Roman"/>
        </w:rPr>
      </w:pPr>
      <w:r w:rsidRPr="00224863">
        <w:rPr>
          <w:rFonts w:ascii="Times New Roman" w:hAnsi="Times New Roman" w:cs="Times New Roman"/>
        </w:rPr>
        <w:t>*Corresponding author: james.muirhead@fulbrightmail.org</w:t>
      </w:r>
    </w:p>
    <w:p w14:paraId="74833ADD" w14:textId="77777777" w:rsidR="00591644" w:rsidRDefault="00591644" w:rsidP="00591644">
      <w:pPr>
        <w:spacing w:after="0" w:line="480" w:lineRule="auto"/>
        <w:jc w:val="center"/>
        <w:rPr>
          <w:rFonts w:ascii="Times New Roman" w:hAnsi="Times New Roman" w:cs="Times New Roman"/>
          <w:b/>
          <w:sz w:val="24"/>
          <w:szCs w:val="24"/>
        </w:rPr>
      </w:pPr>
    </w:p>
    <w:p w14:paraId="69762865" w14:textId="77777777" w:rsidR="00591644" w:rsidRPr="00A10D51" w:rsidRDefault="00591644" w:rsidP="00591644">
      <w:pPr>
        <w:spacing w:after="0" w:line="480" w:lineRule="auto"/>
        <w:jc w:val="center"/>
        <w:rPr>
          <w:rFonts w:ascii="Times New Roman" w:hAnsi="Times New Roman" w:cs="Times New Roman"/>
          <w:sz w:val="28"/>
          <w:szCs w:val="28"/>
        </w:rPr>
      </w:pPr>
      <w:r w:rsidRPr="00A10D51">
        <w:rPr>
          <w:rFonts w:ascii="Times New Roman" w:hAnsi="Times New Roman" w:cs="Times New Roman"/>
          <w:sz w:val="28"/>
          <w:szCs w:val="28"/>
        </w:rPr>
        <w:t>Summary of content</w:t>
      </w:r>
    </w:p>
    <w:p w14:paraId="74F88B1F" w14:textId="77777777" w:rsidR="00591644" w:rsidRPr="00F85FDE" w:rsidRDefault="00591644" w:rsidP="00591644">
      <w:pPr>
        <w:spacing w:after="0" w:line="360" w:lineRule="auto"/>
        <w:rPr>
          <w:rFonts w:ascii="Times New Roman" w:hAnsi="Times New Roman" w:cs="Times New Roman"/>
          <w:sz w:val="24"/>
          <w:szCs w:val="24"/>
        </w:rPr>
      </w:pPr>
      <w:r w:rsidRPr="00A10D51">
        <w:rPr>
          <w:rFonts w:ascii="Times New Roman" w:hAnsi="Times New Roman" w:cs="Times New Roman"/>
          <w:i/>
          <w:sz w:val="24"/>
          <w:szCs w:val="24"/>
        </w:rPr>
        <w:t xml:space="preserve">S1. </w:t>
      </w:r>
      <w:r w:rsidRPr="00591644">
        <w:rPr>
          <w:rFonts w:ascii="Times New Roman" w:hAnsi="Times New Roman" w:cs="Times New Roman"/>
          <w:i/>
          <w:sz w:val="24"/>
          <w:szCs w:val="24"/>
        </w:rPr>
        <w:t>Inferring feeder dike orientations from cone lineaments</w:t>
      </w:r>
      <w:r w:rsidRPr="00A10D51">
        <w:rPr>
          <w:rFonts w:ascii="Times New Roman" w:hAnsi="Times New Roman" w:cs="Times New Roman"/>
          <w:i/>
          <w:sz w:val="24"/>
          <w:szCs w:val="24"/>
        </w:rPr>
        <w:t>.</w:t>
      </w:r>
      <w:r>
        <w:rPr>
          <w:rFonts w:ascii="Times New Roman" w:hAnsi="Times New Roman" w:cs="Times New Roman"/>
          <w:b/>
          <w:sz w:val="24"/>
          <w:szCs w:val="24"/>
        </w:rPr>
        <w:t xml:space="preserve"> </w:t>
      </w:r>
    </w:p>
    <w:p w14:paraId="7DFE1BB2" w14:textId="77777777" w:rsidR="00591644" w:rsidRDefault="00591644" w:rsidP="00591644">
      <w:pPr>
        <w:spacing w:after="0" w:line="360" w:lineRule="auto"/>
        <w:rPr>
          <w:rFonts w:ascii="Times New Roman" w:hAnsi="Times New Roman" w:cs="Times New Roman"/>
          <w:b/>
          <w:sz w:val="24"/>
          <w:szCs w:val="24"/>
        </w:rPr>
      </w:pPr>
      <w:r w:rsidRPr="00A10D51">
        <w:rPr>
          <w:rFonts w:ascii="Times New Roman" w:hAnsi="Times New Roman" w:cs="Times New Roman"/>
          <w:i/>
          <w:sz w:val="24"/>
          <w:szCs w:val="24"/>
        </w:rPr>
        <w:t xml:space="preserve">S2. </w:t>
      </w:r>
      <w:r w:rsidR="00455B7D" w:rsidRPr="00455B7D">
        <w:rPr>
          <w:rFonts w:ascii="Times New Roman" w:hAnsi="Times New Roman" w:cs="Times New Roman"/>
          <w:i/>
          <w:sz w:val="24"/>
          <w:szCs w:val="24"/>
        </w:rPr>
        <w:t>Fault propagation folding in the South Turkana basin.</w:t>
      </w:r>
      <w:r w:rsidR="00455B7D">
        <w:rPr>
          <w:rFonts w:ascii="Times New Roman" w:hAnsi="Times New Roman" w:cs="Times New Roman"/>
          <w:sz w:val="24"/>
          <w:szCs w:val="24"/>
        </w:rPr>
        <w:t xml:space="preserve"> </w:t>
      </w:r>
    </w:p>
    <w:p w14:paraId="18796A30" w14:textId="77777777" w:rsidR="00455B7D" w:rsidRDefault="00591644" w:rsidP="00591644">
      <w:pPr>
        <w:spacing w:after="0" w:line="360" w:lineRule="auto"/>
        <w:rPr>
          <w:rFonts w:ascii="Times New Roman" w:hAnsi="Times New Roman" w:cs="Times New Roman"/>
          <w:sz w:val="24"/>
          <w:szCs w:val="24"/>
        </w:rPr>
      </w:pPr>
      <w:r w:rsidRPr="00A10D51">
        <w:rPr>
          <w:rFonts w:ascii="Times New Roman" w:hAnsi="Times New Roman" w:cs="Times New Roman"/>
          <w:i/>
          <w:sz w:val="24"/>
          <w:szCs w:val="24"/>
        </w:rPr>
        <w:t xml:space="preserve">S3. </w:t>
      </w:r>
      <w:r w:rsidR="00455B7D" w:rsidRPr="00455B7D">
        <w:rPr>
          <w:rFonts w:ascii="Times New Roman" w:hAnsi="Times New Roman" w:cs="Times New Roman"/>
          <w:i/>
          <w:sz w:val="24"/>
          <w:szCs w:val="24"/>
        </w:rPr>
        <w:t>Age model for Lake Turkana sediments from core 46P</w:t>
      </w:r>
      <w:r w:rsidRPr="00455B7D">
        <w:rPr>
          <w:rFonts w:ascii="Times New Roman" w:hAnsi="Times New Roman" w:cs="Times New Roman"/>
          <w:i/>
          <w:sz w:val="24"/>
          <w:szCs w:val="24"/>
        </w:rPr>
        <w:t>.</w:t>
      </w:r>
      <w:r w:rsidRPr="00455B7D">
        <w:rPr>
          <w:rFonts w:ascii="Times New Roman" w:hAnsi="Times New Roman" w:cs="Times New Roman"/>
          <w:sz w:val="24"/>
          <w:szCs w:val="24"/>
        </w:rPr>
        <w:t xml:space="preserve"> </w:t>
      </w:r>
    </w:p>
    <w:p w14:paraId="5564F5DA" w14:textId="77777777" w:rsidR="00591644" w:rsidRDefault="00591644" w:rsidP="001D14BF">
      <w:pPr>
        <w:spacing w:line="480" w:lineRule="auto"/>
        <w:rPr>
          <w:rFonts w:ascii="Times New Roman" w:hAnsi="Times New Roman" w:cs="Times New Roman"/>
          <w:b/>
          <w:i/>
          <w:sz w:val="24"/>
          <w:szCs w:val="24"/>
        </w:rPr>
      </w:pPr>
    </w:p>
    <w:p w14:paraId="1D3890FA" w14:textId="77777777" w:rsidR="00591644" w:rsidRDefault="00591644" w:rsidP="001D14BF">
      <w:pPr>
        <w:spacing w:line="480" w:lineRule="auto"/>
        <w:rPr>
          <w:rFonts w:ascii="Times New Roman" w:hAnsi="Times New Roman" w:cs="Times New Roman"/>
          <w:b/>
          <w:i/>
          <w:sz w:val="24"/>
          <w:szCs w:val="24"/>
        </w:rPr>
      </w:pPr>
    </w:p>
    <w:p w14:paraId="1E1E8610" w14:textId="77777777" w:rsidR="00591644" w:rsidRDefault="00591644" w:rsidP="001D14BF">
      <w:pPr>
        <w:spacing w:line="480" w:lineRule="auto"/>
        <w:rPr>
          <w:rFonts w:ascii="Times New Roman" w:hAnsi="Times New Roman" w:cs="Times New Roman"/>
          <w:b/>
          <w:i/>
          <w:sz w:val="24"/>
          <w:szCs w:val="24"/>
        </w:rPr>
      </w:pPr>
    </w:p>
    <w:p w14:paraId="1409D2FB" w14:textId="77777777" w:rsidR="00591644" w:rsidRDefault="00591644" w:rsidP="001D14BF">
      <w:pPr>
        <w:spacing w:line="480" w:lineRule="auto"/>
        <w:rPr>
          <w:rFonts w:ascii="Times New Roman" w:hAnsi="Times New Roman" w:cs="Times New Roman"/>
          <w:b/>
          <w:i/>
          <w:sz w:val="24"/>
          <w:szCs w:val="24"/>
        </w:rPr>
      </w:pPr>
    </w:p>
    <w:p w14:paraId="57EF9F61" w14:textId="77777777" w:rsidR="00591644" w:rsidRDefault="00591644">
      <w:pPr>
        <w:rPr>
          <w:rFonts w:ascii="Times New Roman" w:hAnsi="Times New Roman" w:cs="Times New Roman"/>
          <w:b/>
          <w:i/>
          <w:sz w:val="24"/>
          <w:szCs w:val="24"/>
        </w:rPr>
      </w:pPr>
      <w:r>
        <w:rPr>
          <w:rFonts w:ascii="Times New Roman" w:hAnsi="Times New Roman" w:cs="Times New Roman"/>
          <w:b/>
          <w:i/>
          <w:sz w:val="24"/>
          <w:szCs w:val="24"/>
        </w:rPr>
        <w:br w:type="page"/>
      </w:r>
    </w:p>
    <w:p w14:paraId="1EC22EEC" w14:textId="77777777" w:rsidR="00EA2B24" w:rsidRPr="001D14BF" w:rsidRDefault="00EA2B24" w:rsidP="001D14BF">
      <w:pPr>
        <w:spacing w:line="480" w:lineRule="auto"/>
        <w:rPr>
          <w:rFonts w:ascii="Times New Roman" w:hAnsi="Times New Roman" w:cs="Times New Roman"/>
          <w:b/>
          <w:i/>
          <w:sz w:val="24"/>
          <w:szCs w:val="24"/>
        </w:rPr>
      </w:pPr>
      <w:r w:rsidRPr="001D14BF">
        <w:rPr>
          <w:rFonts w:ascii="Times New Roman" w:hAnsi="Times New Roman" w:cs="Times New Roman"/>
          <w:b/>
          <w:i/>
          <w:sz w:val="24"/>
          <w:szCs w:val="24"/>
        </w:rPr>
        <w:lastRenderedPageBreak/>
        <w:t xml:space="preserve">Supplemental Text 1: </w:t>
      </w:r>
      <w:r w:rsidR="00D77FD3" w:rsidRPr="001D14BF">
        <w:rPr>
          <w:rFonts w:ascii="Times New Roman" w:hAnsi="Times New Roman" w:cs="Times New Roman"/>
          <w:b/>
          <w:i/>
          <w:sz w:val="24"/>
          <w:szCs w:val="24"/>
        </w:rPr>
        <w:t>Inferring feeder dike orientations from cone lineaments</w:t>
      </w:r>
    </w:p>
    <w:p w14:paraId="1A8ECFAE" w14:textId="77777777" w:rsidR="001D14BF" w:rsidRDefault="001D14BF" w:rsidP="001D14B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Small monogenetic</w:t>
      </w:r>
      <w:r w:rsidRPr="001D14BF">
        <w:rPr>
          <w:rFonts w:ascii="Times New Roman" w:hAnsi="Times New Roman" w:cs="Times New Roman"/>
          <w:sz w:val="24"/>
          <w:szCs w:val="24"/>
        </w:rPr>
        <w:t xml:space="preserve"> volcanic cones were mapped using Google Earth satellite imagery, supplemented by published maps</w:t>
      </w:r>
      <w:r w:rsidR="00D45813">
        <w:rPr>
          <w:rFonts w:ascii="Times New Roman" w:hAnsi="Times New Roman" w:cs="Times New Roman"/>
          <w:sz w:val="24"/>
          <w:szCs w:val="24"/>
        </w:rPr>
        <w:t xml:space="preserve"> </w:t>
      </w:r>
      <w:r w:rsidR="00D45813">
        <w:rPr>
          <w:rFonts w:ascii="Times New Roman" w:hAnsi="Times New Roman" w:cs="Times New Roman"/>
          <w:sz w:val="24"/>
          <w:szCs w:val="24"/>
        </w:rPr>
        <w:fldChar w:fldCharType="begin" w:fldLock="1"/>
      </w:r>
      <w:r w:rsidR="00D45813">
        <w:rPr>
          <w:rFonts w:ascii="Times New Roman" w:hAnsi="Times New Roman" w:cs="Times New Roman"/>
          <w:sz w:val="24"/>
          <w:szCs w:val="24"/>
        </w:rPr>
        <w:instrText>ADDIN CSL_CITATION {"citationItems":[{"id":"ITEM-1","itemData":{"author":[{"dropping-particle":"","family":"Dunkley","given":"P","non-dropping-particle":"","parse-names":false,"suffix":""},{"dropping-particle":"","family":"Smith","given":"M","non-dropping-particle":"","parse-names":false,"suffix":""},{"dropping-particle":"","family":"Allen","given":"D J","non-dropping-particle":"","parse-names":false,"suffix":""},{"dropping-particle":"","family":"Darling","given":"W G","non-dropping-particle":"","parse-names":false,"suffix":""}],"id":"ITEM-1","issued":{"date-parts":[["1993"]]},"number-of-pages":"185","publisher":"British Geological Survey Scientific Report SC/93/1","title":"The geothermal activity and geology of the northern sector of the Kenya Rift Valley","type":"report"},"uris":["http://www.mendeley.com/documents/?uuid=e489e899-a7fa-4d83-8daf-3cfbe34edcf1"]}],"mendeley":{"formattedCitation":"(Dunkley et al., 1993)","plainTextFormattedCitation":"(Dunkley et al., 1993)","previouslyFormattedCitation":"(Dunkley et al., 1993)"},"properties":{"noteIndex":0},"schema":"https://github.com/citation-style-language/schema/raw/master/csl-citation.json"}</w:instrText>
      </w:r>
      <w:r w:rsidR="00D45813">
        <w:rPr>
          <w:rFonts w:ascii="Times New Roman" w:hAnsi="Times New Roman" w:cs="Times New Roman"/>
          <w:sz w:val="24"/>
          <w:szCs w:val="24"/>
        </w:rPr>
        <w:fldChar w:fldCharType="separate"/>
      </w:r>
      <w:r w:rsidR="00D45813" w:rsidRPr="00D45813">
        <w:rPr>
          <w:rFonts w:ascii="Times New Roman" w:hAnsi="Times New Roman" w:cs="Times New Roman"/>
          <w:noProof/>
          <w:sz w:val="24"/>
          <w:szCs w:val="24"/>
        </w:rPr>
        <w:t>(Dunkley et al., 1993)</w:t>
      </w:r>
      <w:r w:rsidR="00D45813">
        <w:rPr>
          <w:rFonts w:ascii="Times New Roman" w:hAnsi="Times New Roman" w:cs="Times New Roman"/>
          <w:sz w:val="24"/>
          <w:szCs w:val="24"/>
        </w:rPr>
        <w:fldChar w:fldCharType="end"/>
      </w:r>
      <w:r w:rsidRPr="001D14BF">
        <w:rPr>
          <w:rFonts w:ascii="Times New Roman" w:hAnsi="Times New Roman" w:cs="Times New Roman"/>
          <w:sz w:val="24"/>
          <w:szCs w:val="24"/>
        </w:rPr>
        <w:t xml:space="preserve">. </w:t>
      </w:r>
      <w:r>
        <w:rPr>
          <w:rFonts w:ascii="Times New Roman" w:hAnsi="Times New Roman" w:cs="Times New Roman"/>
          <w:sz w:val="24"/>
          <w:szCs w:val="24"/>
        </w:rPr>
        <w:t>T</w:t>
      </w:r>
      <w:r w:rsidRPr="001D14BF">
        <w:rPr>
          <w:rFonts w:ascii="Times New Roman" w:hAnsi="Times New Roman" w:cs="Times New Roman"/>
          <w:sz w:val="24"/>
          <w:szCs w:val="24"/>
        </w:rPr>
        <w:t xml:space="preserve">he idealized shapes (circular to </w:t>
      </w:r>
      <w:r w:rsidRPr="00137AB5">
        <w:rPr>
          <w:rFonts w:ascii="Times New Roman" w:hAnsi="Times New Roman" w:cs="Times New Roman"/>
          <w:sz w:val="24"/>
          <w:szCs w:val="24"/>
        </w:rPr>
        <w:t>elliptical) of cones and their craters were determined and each was classified as a cone, cleft cone, or crater (Fig.</w:t>
      </w:r>
      <w:r w:rsidR="00137AB5">
        <w:rPr>
          <w:rFonts w:ascii="Times New Roman" w:hAnsi="Times New Roman" w:cs="Times New Roman"/>
          <w:sz w:val="24"/>
          <w:szCs w:val="24"/>
        </w:rPr>
        <w:t xml:space="preserve"> S</w:t>
      </w:r>
      <w:r w:rsidR="00137AB5" w:rsidRPr="00137AB5">
        <w:rPr>
          <w:rFonts w:ascii="Times New Roman" w:hAnsi="Times New Roman" w:cs="Times New Roman"/>
          <w:sz w:val="24"/>
          <w:szCs w:val="24"/>
        </w:rPr>
        <w:t>1</w:t>
      </w:r>
      <w:r w:rsidRPr="00137AB5">
        <w:rPr>
          <w:rFonts w:ascii="Times New Roman" w:hAnsi="Times New Roman" w:cs="Times New Roman"/>
          <w:sz w:val="24"/>
          <w:szCs w:val="24"/>
        </w:rPr>
        <w:t xml:space="preserve">). We expect that the reliability of the mapped cone morphology is not affected by image resolution </w:t>
      </w:r>
      <w:proofErr w:type="spellStart"/>
      <w:r w:rsidRPr="00137AB5">
        <w:rPr>
          <w:rFonts w:ascii="Times New Roman" w:hAnsi="Times New Roman" w:cs="Times New Roman"/>
          <w:sz w:val="24"/>
          <w:szCs w:val="24"/>
        </w:rPr>
        <w:t>resolution</w:t>
      </w:r>
      <w:proofErr w:type="spellEnd"/>
      <w:r w:rsidRPr="00137AB5">
        <w:rPr>
          <w:rFonts w:ascii="Times New Roman" w:hAnsi="Times New Roman" w:cs="Times New Roman"/>
          <w:sz w:val="24"/>
          <w:szCs w:val="24"/>
        </w:rPr>
        <w:t xml:space="preserve"> (~0.5-2.0 m), which is an order of magnitude greater than the typical dimensions of the monogenetic cones (30-1000 m radii). Nonetheless, we ranked the reliability of </w:t>
      </w:r>
      <w:proofErr w:type="spellStart"/>
      <w:r w:rsidRPr="00137AB5">
        <w:rPr>
          <w:rFonts w:ascii="Times New Roman" w:hAnsi="Times New Roman" w:cs="Times New Roman"/>
          <w:sz w:val="24"/>
          <w:szCs w:val="24"/>
        </w:rPr>
        <w:t>of</w:t>
      </w:r>
      <w:proofErr w:type="spellEnd"/>
      <w:r w:rsidRPr="00137AB5">
        <w:rPr>
          <w:rFonts w:ascii="Times New Roman" w:hAnsi="Times New Roman" w:cs="Times New Roman"/>
          <w:sz w:val="24"/>
          <w:szCs w:val="24"/>
        </w:rPr>
        <w:t xml:space="preserve"> each cone (1 = probable; 2 = likely; 3 = unknown) depending on the degree of observable erosion. Consistent with the methods of Muirhead et al.</w:t>
      </w:r>
      <w:r w:rsidR="00D45813">
        <w:rPr>
          <w:rFonts w:ascii="Times New Roman" w:hAnsi="Times New Roman" w:cs="Times New Roman"/>
          <w:sz w:val="24"/>
          <w:szCs w:val="24"/>
        </w:rPr>
        <w:t xml:space="preserve"> </w:t>
      </w:r>
      <w:r w:rsidR="00D45813">
        <w:rPr>
          <w:rFonts w:ascii="Times New Roman" w:hAnsi="Times New Roman" w:cs="Times New Roman"/>
          <w:sz w:val="24"/>
          <w:szCs w:val="24"/>
        </w:rPr>
        <w:fldChar w:fldCharType="begin" w:fldLock="1"/>
      </w:r>
      <w:r w:rsidR="00103C66">
        <w:rPr>
          <w:rFonts w:ascii="Times New Roman" w:hAnsi="Times New Roman" w:cs="Times New Roman"/>
          <w:sz w:val="24"/>
          <w:szCs w:val="24"/>
        </w:rPr>
        <w:instrText>ADDIN CSL_CITATION {"citationItems":[{"id":"ITEM-1","itemData":{"DOI":"10.1002/2015gc005918","author":[{"dropping-particle":"","family":"Muirhead","given":"J D","non-dropping-particle":"","parse-names":false,"suffix":""},{"dropping-particle":"","family":"Kattenhorn","given":"S A","non-dropping-particle":"","parse-names":false,"suffix":""},{"dropping-particle":"","family":"Corvec","given":"N","non-dropping-particle":"Le","parse-names":false,"suffix":""}],"container-title":"Geochemistry, Geophysics, Geosystems","id":"ITEM-1","issued":{"date-parts":[["2015"]]},"title":"Varying styles of magmatic strain accommodation in the East African Rift","title-short":"Varying styles of magmatic strain accommodation in","type":"article-journal","volume":"16"},"uris":["http://www.mendeley.com/documents/?uuid=124ab670-30c6-4977-9873-63db76cc6929"]}],"mendeley":{"formattedCitation":"(J D Muirhead et al., 2015)","manualFormatting":"(2015)","plainTextFormattedCitation":"(J D Muirhead et al., 2015)","previouslyFormattedCitation":"(J D Muirhead et al., 2015)"},"properties":{"noteIndex":0},"schema":"https://github.com/citation-style-language/schema/raw/master/csl-citation.json"}</w:instrText>
      </w:r>
      <w:r w:rsidR="00D45813">
        <w:rPr>
          <w:rFonts w:ascii="Times New Roman" w:hAnsi="Times New Roman" w:cs="Times New Roman"/>
          <w:sz w:val="24"/>
          <w:szCs w:val="24"/>
        </w:rPr>
        <w:fldChar w:fldCharType="separate"/>
      </w:r>
      <w:r w:rsidR="00D45813" w:rsidRPr="00D45813">
        <w:rPr>
          <w:rFonts w:ascii="Times New Roman" w:hAnsi="Times New Roman" w:cs="Times New Roman"/>
          <w:noProof/>
          <w:sz w:val="24"/>
          <w:szCs w:val="24"/>
        </w:rPr>
        <w:t>(2015)</w:t>
      </w:r>
      <w:r w:rsidR="00D45813">
        <w:rPr>
          <w:rFonts w:ascii="Times New Roman" w:hAnsi="Times New Roman" w:cs="Times New Roman"/>
          <w:sz w:val="24"/>
          <w:szCs w:val="24"/>
        </w:rPr>
        <w:fldChar w:fldCharType="end"/>
      </w:r>
      <w:r w:rsidRPr="00137AB5">
        <w:rPr>
          <w:rFonts w:ascii="Times New Roman" w:hAnsi="Times New Roman" w:cs="Times New Roman"/>
          <w:sz w:val="24"/>
          <w:szCs w:val="24"/>
        </w:rPr>
        <w:t>, the cone was considered to produce a lineament if it had a reliability ranking of 1 or 2 and a cone or crater axial ratio (long axis to short axis) &gt;1.2. If both criteria were met, the recorded long axes of the cone and crater w</w:t>
      </w:r>
      <w:r w:rsidR="001C5951">
        <w:rPr>
          <w:rFonts w:ascii="Times New Roman" w:hAnsi="Times New Roman" w:cs="Times New Roman"/>
          <w:sz w:val="24"/>
          <w:szCs w:val="24"/>
        </w:rPr>
        <w:t>ere</w:t>
      </w:r>
      <w:r w:rsidRPr="00137AB5">
        <w:rPr>
          <w:rFonts w:ascii="Times New Roman" w:hAnsi="Times New Roman" w:cs="Times New Roman"/>
          <w:sz w:val="24"/>
          <w:szCs w:val="24"/>
        </w:rPr>
        <w:t xml:space="preserve"> interpreted to mimic the dike that fed the cone. Further, the long axis of the crater was favored in instances whe</w:t>
      </w:r>
      <w:r w:rsidR="00535AE9">
        <w:rPr>
          <w:rFonts w:ascii="Times New Roman" w:hAnsi="Times New Roman" w:cs="Times New Roman"/>
          <w:sz w:val="24"/>
          <w:szCs w:val="24"/>
        </w:rPr>
        <w:t>re</w:t>
      </w:r>
      <w:r w:rsidRPr="00137AB5">
        <w:rPr>
          <w:rFonts w:ascii="Times New Roman" w:hAnsi="Times New Roman" w:cs="Times New Roman"/>
          <w:sz w:val="24"/>
          <w:szCs w:val="24"/>
        </w:rPr>
        <w:t xml:space="preserve"> both the cone base and cone crater exhibited an axial ratio &gt;1.2. Finally, breaching direction (Fig. </w:t>
      </w:r>
      <w:r w:rsidR="00137AB5">
        <w:rPr>
          <w:rFonts w:ascii="Times New Roman" w:hAnsi="Times New Roman" w:cs="Times New Roman"/>
          <w:sz w:val="24"/>
          <w:szCs w:val="24"/>
        </w:rPr>
        <w:t>S</w:t>
      </w:r>
      <w:r w:rsidR="00137AB5" w:rsidRPr="00137AB5">
        <w:rPr>
          <w:rFonts w:ascii="Times New Roman" w:hAnsi="Times New Roman" w:cs="Times New Roman"/>
          <w:sz w:val="24"/>
          <w:szCs w:val="24"/>
        </w:rPr>
        <w:t>1</w:t>
      </w:r>
      <w:r w:rsidRPr="00137AB5">
        <w:rPr>
          <w:rFonts w:ascii="Times New Roman" w:hAnsi="Times New Roman" w:cs="Times New Roman"/>
          <w:sz w:val="24"/>
          <w:szCs w:val="24"/>
        </w:rPr>
        <w:t>)</w:t>
      </w:r>
      <w:r w:rsidRPr="001D14BF">
        <w:rPr>
          <w:rFonts w:ascii="Times New Roman" w:hAnsi="Times New Roman" w:cs="Times New Roman"/>
          <w:sz w:val="24"/>
          <w:szCs w:val="24"/>
        </w:rPr>
        <w:t xml:space="preserve"> was </w:t>
      </w:r>
      <w:r>
        <w:rPr>
          <w:rFonts w:ascii="Times New Roman" w:hAnsi="Times New Roman" w:cs="Times New Roman"/>
          <w:sz w:val="24"/>
          <w:szCs w:val="24"/>
        </w:rPr>
        <w:t xml:space="preserve">also </w:t>
      </w:r>
      <w:r w:rsidRPr="001D14BF">
        <w:rPr>
          <w:rFonts w:ascii="Times New Roman" w:hAnsi="Times New Roman" w:cs="Times New Roman"/>
          <w:sz w:val="24"/>
          <w:szCs w:val="24"/>
        </w:rPr>
        <w:t>used as a direct indicator of feeder dike orientation</w:t>
      </w:r>
      <w:r w:rsidR="00D45813">
        <w:rPr>
          <w:rFonts w:ascii="Times New Roman" w:hAnsi="Times New Roman" w:cs="Times New Roman"/>
          <w:sz w:val="24"/>
          <w:szCs w:val="24"/>
        </w:rPr>
        <w:t xml:space="preserve"> </w:t>
      </w:r>
      <w:r w:rsidR="00D45813">
        <w:rPr>
          <w:rFonts w:ascii="Times New Roman" w:hAnsi="Times New Roman" w:cs="Times New Roman"/>
          <w:sz w:val="24"/>
          <w:szCs w:val="24"/>
        </w:rPr>
        <w:fldChar w:fldCharType="begin" w:fldLock="1"/>
      </w:r>
      <w:r w:rsidR="00D45813">
        <w:rPr>
          <w:rFonts w:ascii="Times New Roman" w:hAnsi="Times New Roman" w:cs="Times New Roman"/>
          <w:sz w:val="24"/>
          <w:szCs w:val="24"/>
        </w:rPr>
        <w:instrText>ADDIN CSL_CITATION {"citationItems":[{"id":"ITEM-1","itemData":{"DOI":"10.1029/95jb02250","ISBN":"0148-0227","author":[{"dropping-particle":"","family":"Tibaldi","given":"A","non-dropping-particle":"","parse-names":false,"suffix":""}],"container-title":"Journal of Geophysical Research-Solid Earth","id":"ITEM-1","issue":"B12","issued":{"date-parts":[["1995"]]},"note":"Tibaldi, A","page":"24521-24535","title":"Morphology of pyroclastic cones and tectonics","title-short":"Morphology of pyroclastic cones and tectonics","type":"article-journal","volume":"100"},"uris":["http://www.mendeley.com/documents/?uuid=f99621dd-f1be-48d1-a39b-f9a0d702d2cf"]}],"mendeley":{"formattedCitation":"(Tibaldi, 1995)","manualFormatting":"(i.e., Tibaldi, 1995)","plainTextFormattedCitation":"(Tibaldi, 1995)","previouslyFormattedCitation":"(Tibaldi, 1995)"},"properties":{"noteIndex":0},"schema":"https://github.com/citation-style-language/schema/raw/master/csl-citation.json"}</w:instrText>
      </w:r>
      <w:r w:rsidR="00D45813">
        <w:rPr>
          <w:rFonts w:ascii="Times New Roman" w:hAnsi="Times New Roman" w:cs="Times New Roman"/>
          <w:sz w:val="24"/>
          <w:szCs w:val="24"/>
        </w:rPr>
        <w:fldChar w:fldCharType="separate"/>
      </w:r>
      <w:r w:rsidR="00D45813" w:rsidRPr="00D45813">
        <w:rPr>
          <w:rFonts w:ascii="Times New Roman" w:hAnsi="Times New Roman" w:cs="Times New Roman"/>
          <w:noProof/>
          <w:sz w:val="24"/>
          <w:szCs w:val="24"/>
        </w:rPr>
        <w:t>(</w:t>
      </w:r>
      <w:r w:rsidR="00D45813">
        <w:rPr>
          <w:rFonts w:ascii="Times New Roman" w:hAnsi="Times New Roman" w:cs="Times New Roman"/>
          <w:noProof/>
          <w:sz w:val="24"/>
          <w:szCs w:val="24"/>
        </w:rPr>
        <w:t xml:space="preserve">i.e., </w:t>
      </w:r>
      <w:r w:rsidR="00D45813" w:rsidRPr="00D45813">
        <w:rPr>
          <w:rFonts w:ascii="Times New Roman" w:hAnsi="Times New Roman" w:cs="Times New Roman"/>
          <w:noProof/>
          <w:sz w:val="24"/>
          <w:szCs w:val="24"/>
        </w:rPr>
        <w:t>Tibaldi, 1995)</w:t>
      </w:r>
      <w:r w:rsidR="00D45813">
        <w:rPr>
          <w:rFonts w:ascii="Times New Roman" w:hAnsi="Times New Roman" w:cs="Times New Roman"/>
          <w:sz w:val="24"/>
          <w:szCs w:val="24"/>
        </w:rPr>
        <w:fldChar w:fldCharType="end"/>
      </w:r>
      <w:r>
        <w:rPr>
          <w:rFonts w:ascii="Times New Roman" w:hAnsi="Times New Roman" w:cs="Times New Roman"/>
          <w:sz w:val="24"/>
          <w:szCs w:val="24"/>
        </w:rPr>
        <w:t>.</w:t>
      </w:r>
      <w:r w:rsidRPr="001D14BF">
        <w:rPr>
          <w:rFonts w:ascii="Times New Roman" w:hAnsi="Times New Roman" w:cs="Times New Roman"/>
          <w:sz w:val="24"/>
          <w:szCs w:val="24"/>
        </w:rPr>
        <w:t xml:space="preserve"> </w:t>
      </w:r>
      <w:r>
        <w:rPr>
          <w:rFonts w:ascii="Times New Roman" w:hAnsi="Times New Roman" w:cs="Times New Roman"/>
          <w:sz w:val="24"/>
          <w:szCs w:val="24"/>
        </w:rPr>
        <w:t>T</w:t>
      </w:r>
      <w:r w:rsidRPr="001D14BF">
        <w:rPr>
          <w:rFonts w:ascii="Times New Roman" w:hAnsi="Times New Roman" w:cs="Times New Roman"/>
          <w:sz w:val="24"/>
          <w:szCs w:val="24"/>
        </w:rPr>
        <w:t xml:space="preserve">hese features are described as </w:t>
      </w:r>
      <w:r w:rsidRPr="001D14BF">
        <w:rPr>
          <w:rFonts w:ascii="Times New Roman" w:hAnsi="Times New Roman" w:cs="Times New Roman"/>
          <w:i/>
          <w:sz w:val="24"/>
          <w:szCs w:val="24"/>
        </w:rPr>
        <w:t>cone lineaments</w:t>
      </w:r>
      <w:r>
        <w:rPr>
          <w:rFonts w:ascii="Times New Roman" w:hAnsi="Times New Roman" w:cs="Times New Roman"/>
          <w:sz w:val="24"/>
          <w:szCs w:val="24"/>
        </w:rPr>
        <w:t xml:space="preserve"> in this paper</w:t>
      </w:r>
      <w:r w:rsidRPr="001D14BF">
        <w:rPr>
          <w:rFonts w:ascii="Times New Roman" w:hAnsi="Times New Roman" w:cs="Times New Roman"/>
          <w:sz w:val="24"/>
          <w:szCs w:val="24"/>
        </w:rPr>
        <w:t xml:space="preserve">, and are inferred to reflect the strike of the </w:t>
      </w:r>
      <w:r>
        <w:rPr>
          <w:rFonts w:ascii="Times New Roman" w:hAnsi="Times New Roman" w:cs="Times New Roman"/>
          <w:sz w:val="24"/>
          <w:szCs w:val="24"/>
        </w:rPr>
        <w:t>dike that fed the volcanic cone.</w:t>
      </w:r>
      <w:r w:rsidR="00B0109E">
        <w:rPr>
          <w:rFonts w:ascii="Times New Roman" w:hAnsi="Times New Roman" w:cs="Times New Roman"/>
          <w:sz w:val="24"/>
          <w:szCs w:val="24"/>
        </w:rPr>
        <w:t xml:space="preserve"> </w:t>
      </w:r>
      <w:r w:rsidR="00B0109E" w:rsidRPr="001C5951">
        <w:rPr>
          <w:rFonts w:ascii="Times New Roman" w:hAnsi="Times New Roman" w:cs="Times New Roman"/>
          <w:sz w:val="24"/>
          <w:szCs w:val="24"/>
        </w:rPr>
        <w:t>All cone data can be found in Table S</w:t>
      </w:r>
      <w:r w:rsidR="001C5951" w:rsidRPr="001C5951">
        <w:rPr>
          <w:rFonts w:ascii="Times New Roman" w:hAnsi="Times New Roman" w:cs="Times New Roman"/>
          <w:sz w:val="24"/>
          <w:szCs w:val="24"/>
        </w:rPr>
        <w:t>2</w:t>
      </w:r>
      <w:r w:rsidR="00B0109E" w:rsidRPr="001C5951">
        <w:rPr>
          <w:rFonts w:ascii="Times New Roman" w:hAnsi="Times New Roman" w:cs="Times New Roman"/>
          <w:sz w:val="24"/>
          <w:szCs w:val="24"/>
        </w:rPr>
        <w:t>.</w:t>
      </w:r>
    </w:p>
    <w:p w14:paraId="73C205AC" w14:textId="77777777" w:rsidR="005B12E1" w:rsidRPr="001D14BF" w:rsidRDefault="005B12E1" w:rsidP="001D14BF">
      <w:pPr>
        <w:spacing w:line="480" w:lineRule="auto"/>
        <w:ind w:firstLine="720"/>
        <w:jc w:val="both"/>
        <w:rPr>
          <w:rFonts w:ascii="Times New Roman" w:hAnsi="Times New Roman" w:cs="Times New Roman"/>
          <w:sz w:val="24"/>
          <w:szCs w:val="24"/>
        </w:rPr>
      </w:pPr>
    </w:p>
    <w:p w14:paraId="756091EA" w14:textId="77777777" w:rsidR="00542673" w:rsidRPr="008A2BD7" w:rsidRDefault="00EA2B24" w:rsidP="00542673">
      <w:pPr>
        <w:spacing w:line="480" w:lineRule="auto"/>
        <w:rPr>
          <w:rFonts w:ascii="Times New Roman" w:hAnsi="Times New Roman" w:cs="Times New Roman"/>
          <w:b/>
          <w:i/>
          <w:sz w:val="24"/>
          <w:szCs w:val="24"/>
        </w:rPr>
      </w:pPr>
      <w:r>
        <w:rPr>
          <w:rFonts w:ascii="Times New Roman" w:hAnsi="Times New Roman" w:cs="Times New Roman"/>
          <w:b/>
          <w:i/>
          <w:sz w:val="24"/>
          <w:szCs w:val="24"/>
        </w:rPr>
        <w:t xml:space="preserve">Supplemental Text 2: </w:t>
      </w:r>
      <w:r w:rsidR="00542673">
        <w:rPr>
          <w:rFonts w:ascii="Times New Roman" w:hAnsi="Times New Roman" w:cs="Times New Roman"/>
          <w:b/>
          <w:i/>
          <w:sz w:val="24"/>
          <w:szCs w:val="24"/>
        </w:rPr>
        <w:t>Fault propagation</w:t>
      </w:r>
      <w:r w:rsidR="00542673" w:rsidRPr="008A2BD7">
        <w:rPr>
          <w:rFonts w:ascii="Times New Roman" w:hAnsi="Times New Roman" w:cs="Times New Roman"/>
          <w:b/>
          <w:i/>
          <w:sz w:val="24"/>
          <w:szCs w:val="24"/>
        </w:rPr>
        <w:t xml:space="preserve"> folding</w:t>
      </w:r>
      <w:r w:rsidR="00542673">
        <w:rPr>
          <w:rFonts w:ascii="Times New Roman" w:hAnsi="Times New Roman" w:cs="Times New Roman"/>
          <w:b/>
          <w:i/>
          <w:sz w:val="24"/>
          <w:szCs w:val="24"/>
        </w:rPr>
        <w:t xml:space="preserve"> in the South Turkana basin</w:t>
      </w:r>
    </w:p>
    <w:p w14:paraId="14CAB6B8" w14:textId="77777777" w:rsidR="00542673" w:rsidRDefault="00542673" w:rsidP="005426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Importantly, in the South Turkana basin, normal faults with minor offsets in shallow lake sediments often exhibit monoclinal folds. This type of folding is characteristic of upward normal fault propagation, and often referred </w:t>
      </w:r>
      <w:r w:rsidR="0081567A">
        <w:rPr>
          <w:rFonts w:ascii="Times New Roman" w:hAnsi="Times New Roman" w:cs="Times New Roman"/>
          <w:sz w:val="24"/>
          <w:szCs w:val="24"/>
        </w:rPr>
        <w:t xml:space="preserve">to </w:t>
      </w:r>
      <w:r>
        <w:rPr>
          <w:rFonts w:ascii="Times New Roman" w:hAnsi="Times New Roman" w:cs="Times New Roman"/>
          <w:sz w:val="24"/>
          <w:szCs w:val="24"/>
        </w:rPr>
        <w:t xml:space="preserve">as a fault propagation </w:t>
      </w:r>
      <w:r w:rsidRPr="00137AB5">
        <w:rPr>
          <w:rFonts w:ascii="Times New Roman" w:hAnsi="Times New Roman" w:cs="Times New Roman"/>
          <w:sz w:val="24"/>
          <w:szCs w:val="24"/>
        </w:rPr>
        <w:t xml:space="preserve">fold (Fig. </w:t>
      </w:r>
      <w:r w:rsidR="00137AB5">
        <w:rPr>
          <w:rFonts w:ascii="Times New Roman" w:hAnsi="Times New Roman" w:cs="Times New Roman"/>
          <w:sz w:val="24"/>
          <w:szCs w:val="24"/>
        </w:rPr>
        <w:t>2</w:t>
      </w:r>
      <w:r>
        <w:rPr>
          <w:rFonts w:ascii="Times New Roman" w:hAnsi="Times New Roman" w:cs="Times New Roman"/>
          <w:sz w:val="24"/>
          <w:szCs w:val="24"/>
        </w:rPr>
        <w:t>). Fault propagation folds are observed and document</w:t>
      </w:r>
      <w:r w:rsidR="0081567A">
        <w:rPr>
          <w:rFonts w:ascii="Times New Roman" w:hAnsi="Times New Roman" w:cs="Times New Roman"/>
          <w:sz w:val="24"/>
          <w:szCs w:val="24"/>
        </w:rPr>
        <w:t>ed</w:t>
      </w:r>
      <w:r>
        <w:rPr>
          <w:rFonts w:ascii="Times New Roman" w:hAnsi="Times New Roman" w:cs="Times New Roman"/>
          <w:sz w:val="24"/>
          <w:szCs w:val="24"/>
        </w:rPr>
        <w:t xml:space="preserve"> in rift zones elsewhere, such as Iceland</w:t>
      </w:r>
      <w:r w:rsidR="00D45813">
        <w:rPr>
          <w:rFonts w:ascii="Times New Roman" w:hAnsi="Times New Roman" w:cs="Times New Roman"/>
          <w:sz w:val="24"/>
          <w:szCs w:val="24"/>
        </w:rPr>
        <w:t xml:space="preserve"> </w:t>
      </w:r>
      <w:r w:rsidR="00D45813">
        <w:rPr>
          <w:rFonts w:ascii="Times New Roman" w:hAnsi="Times New Roman" w:cs="Times New Roman"/>
          <w:sz w:val="24"/>
          <w:szCs w:val="24"/>
        </w:rPr>
        <w:fldChar w:fldCharType="begin" w:fldLock="1"/>
      </w:r>
      <w:r w:rsidR="00D45813">
        <w:rPr>
          <w:rFonts w:ascii="Times New Roman" w:hAnsi="Times New Roman" w:cs="Times New Roman"/>
          <w:sz w:val="24"/>
          <w:szCs w:val="24"/>
        </w:rPr>
        <w:instrText>ADDIN CSL_CITATION {"citationItems":[{"id":"ITEM-1","itemData":{"DOI":"10.1016/j.jsg.2003.07.003","ISBN":"01918141","author":[{"dropping-particle":"V","family":"Grant","given":"James","non-dropping-particle":"","parse-names":false,"suffix":""},{"dropping-particle":"","family":"Kattenhorn","given":"Simon A","non-dropping-particle":"","parse-names":false,"suffix":""}],"container-title":"Journal of Structural Geology","id":"ITEM-1","issue":"3","issued":{"date-parts":[["2004"]]},"page":"537-557","title":"Evolution of vertical faults at an extensional plate boundary, southwest Iceland","title-short":"Evolution of vertical faults at an extensional pla","type":"article-journal","volume":"26"},"uris":["http://www.mendeley.com/documents/?uuid=45292990-a8d2-47b7-b9c5-d21a1282ae35"]}],"mendeley":{"formattedCitation":"(Grant &amp; Kattenhorn, 2004)","plainTextFormattedCitation":"(Grant &amp; Kattenhorn, 2004)","previouslyFormattedCitation":"(Grant &amp; Kattenhorn, 2004)"},"properties":{"noteIndex":0},"schema":"https://github.com/citation-style-language/schema/raw/master/csl-citation.json"}</w:instrText>
      </w:r>
      <w:r w:rsidR="00D45813">
        <w:rPr>
          <w:rFonts w:ascii="Times New Roman" w:hAnsi="Times New Roman" w:cs="Times New Roman"/>
          <w:sz w:val="24"/>
          <w:szCs w:val="24"/>
        </w:rPr>
        <w:fldChar w:fldCharType="separate"/>
      </w:r>
      <w:r w:rsidR="00D45813" w:rsidRPr="00D45813">
        <w:rPr>
          <w:rFonts w:ascii="Times New Roman" w:hAnsi="Times New Roman" w:cs="Times New Roman"/>
          <w:noProof/>
          <w:sz w:val="24"/>
          <w:szCs w:val="24"/>
        </w:rPr>
        <w:t xml:space="preserve">(Grant &amp; Kattenhorn, </w:t>
      </w:r>
      <w:r w:rsidR="00D45813" w:rsidRPr="00D45813">
        <w:rPr>
          <w:rFonts w:ascii="Times New Roman" w:hAnsi="Times New Roman" w:cs="Times New Roman"/>
          <w:noProof/>
          <w:sz w:val="24"/>
          <w:szCs w:val="24"/>
        </w:rPr>
        <w:lastRenderedPageBreak/>
        <w:t>2004)</w:t>
      </w:r>
      <w:r w:rsidR="00D45813">
        <w:rPr>
          <w:rFonts w:ascii="Times New Roman" w:hAnsi="Times New Roman" w:cs="Times New Roman"/>
          <w:sz w:val="24"/>
          <w:szCs w:val="24"/>
        </w:rPr>
        <w:fldChar w:fldCharType="end"/>
      </w:r>
      <w:r>
        <w:rPr>
          <w:rFonts w:ascii="Times New Roman" w:hAnsi="Times New Roman" w:cs="Times New Roman"/>
          <w:sz w:val="24"/>
          <w:szCs w:val="24"/>
        </w:rPr>
        <w:t>, Hawai</w:t>
      </w:r>
      <w:r w:rsidR="00047039">
        <w:rPr>
          <w:rFonts w:ascii="Times New Roman" w:hAnsi="Times New Roman" w:cs="Times New Roman"/>
          <w:sz w:val="24"/>
          <w:szCs w:val="24"/>
        </w:rPr>
        <w:t>i</w:t>
      </w:r>
      <w:r w:rsidR="00D45813">
        <w:rPr>
          <w:rFonts w:ascii="Times New Roman" w:hAnsi="Times New Roman" w:cs="Times New Roman"/>
          <w:sz w:val="24"/>
          <w:szCs w:val="24"/>
        </w:rPr>
        <w:t xml:space="preserve"> </w:t>
      </w:r>
      <w:r w:rsidR="00D45813">
        <w:rPr>
          <w:rFonts w:ascii="Times New Roman" w:hAnsi="Times New Roman" w:cs="Times New Roman"/>
          <w:sz w:val="24"/>
          <w:szCs w:val="24"/>
        </w:rPr>
        <w:fldChar w:fldCharType="begin" w:fldLock="1"/>
      </w:r>
      <w:r w:rsidR="00D45813">
        <w:rPr>
          <w:rFonts w:ascii="Times New Roman" w:hAnsi="Times New Roman" w:cs="Times New Roman"/>
          <w:sz w:val="24"/>
          <w:szCs w:val="24"/>
        </w:rPr>
        <w:instrText>ADDIN CSL_CITATION {"citationItems":[{"id":"ITEM-1","itemData":{"DOI":"10.1016/j.jsg.2005.12.004","ISBN":"0191-8141","abstract":"Normal fault scarps of the Koae fault system on Kilauea volcano consistently display locally breached monoclines underlain by prominent cavities, deep gaping fissures on the footwall, finer fissures on the hanging wall, and buckles at the scarp base. Elastic analyses reveal that this assemblage forms as a fault propagates up towards the surface rather than down from it. Models of a planar blind normal fault with a dip exceeding 60 degrees yield a monocline with a tensile stress concentration at the surface where gaping fissures occur, a stronger subsurface tensile stress concentration near the blind fault tip, where cavities occur, and a compressive stress concentration at the surface where buckles occur. The footwall fissures grow down from the tensile stress concentration at the surface and link with a fault as its scarp grows. In contrast, the cavities initiate at depth near the fault tip and propagate with it up towards the surface. The hanging wall fissures apparently open in response to slip on late-forming blind antithetic faults near the surface. Stoped blocks derived from footwall fissure walls help prop the footwall fissures open as a normal fault breaches the surface. The fissures, cavities, and scarp rubble provide highly conductive hydraulic pathways. (c) 2005 Elsevier Ltd. All rights reserved.","author":[{"dropping-particle":"","family":"Martel","given":"S J","non-dropping-particle":"","parse-names":false,"suffix":""},{"dropping-particle":"","family":"Langley","given":"J S","non-dropping-particle":"","parse-names":false,"suffix":""}],"container-title":"Journal of Structural Geology","id":"ITEM-1","issue":"12","issued":{"date-parts":[["2006"]]},"note":"Martel, Stephen J. Langley, Jason S.","page":"2123-2143","title":"Propagation of normal faults to the surface in basalt, Koae fault system, Hawaii","type":"article-journal","volume":"28"},"uris":["http://www.mendeley.com/documents/?uuid=577c6bde-b8da-4162-9ece-92aec571764c"]}],"mendeley":{"formattedCitation":"(Martel &amp; Langley, 2006)","plainTextFormattedCitation":"(Martel &amp; Langley, 2006)","previouslyFormattedCitation":"(Martel &amp; Langley, 2006)"},"properties":{"noteIndex":0},"schema":"https://github.com/citation-style-language/schema/raw/master/csl-citation.json"}</w:instrText>
      </w:r>
      <w:r w:rsidR="00D45813">
        <w:rPr>
          <w:rFonts w:ascii="Times New Roman" w:hAnsi="Times New Roman" w:cs="Times New Roman"/>
          <w:sz w:val="24"/>
          <w:szCs w:val="24"/>
        </w:rPr>
        <w:fldChar w:fldCharType="separate"/>
      </w:r>
      <w:r w:rsidR="00D45813" w:rsidRPr="00D45813">
        <w:rPr>
          <w:rFonts w:ascii="Times New Roman" w:hAnsi="Times New Roman" w:cs="Times New Roman"/>
          <w:noProof/>
          <w:sz w:val="24"/>
          <w:szCs w:val="24"/>
        </w:rPr>
        <w:t>(Martel &amp; Langley, 2006)</w:t>
      </w:r>
      <w:r w:rsidR="00D45813">
        <w:rPr>
          <w:rFonts w:ascii="Times New Roman" w:hAnsi="Times New Roman" w:cs="Times New Roman"/>
          <w:sz w:val="24"/>
          <w:szCs w:val="24"/>
        </w:rPr>
        <w:fldChar w:fldCharType="end"/>
      </w:r>
      <w:r>
        <w:rPr>
          <w:rFonts w:ascii="Times New Roman" w:hAnsi="Times New Roman" w:cs="Times New Roman"/>
          <w:sz w:val="24"/>
          <w:szCs w:val="24"/>
        </w:rPr>
        <w:t xml:space="preserve">, and the </w:t>
      </w:r>
      <w:proofErr w:type="spellStart"/>
      <w:r>
        <w:rPr>
          <w:rFonts w:ascii="Times New Roman" w:hAnsi="Times New Roman" w:cs="Times New Roman"/>
          <w:sz w:val="24"/>
          <w:szCs w:val="24"/>
        </w:rPr>
        <w:t>Asal</w:t>
      </w:r>
      <w:proofErr w:type="spellEnd"/>
      <w:r>
        <w:rPr>
          <w:rFonts w:ascii="Times New Roman" w:hAnsi="Times New Roman" w:cs="Times New Roman"/>
          <w:sz w:val="24"/>
          <w:szCs w:val="24"/>
        </w:rPr>
        <w:t xml:space="preserve"> Rift </w:t>
      </w:r>
      <w:r w:rsidR="00D45813">
        <w:rPr>
          <w:rFonts w:ascii="Times New Roman" w:hAnsi="Times New Roman" w:cs="Times New Roman"/>
          <w:sz w:val="24"/>
          <w:szCs w:val="24"/>
        </w:rPr>
        <w:fldChar w:fldCharType="begin" w:fldLock="1"/>
      </w:r>
      <w:r w:rsidR="001D0431">
        <w:rPr>
          <w:rFonts w:ascii="Times New Roman" w:hAnsi="Times New Roman" w:cs="Times New Roman"/>
          <w:sz w:val="24"/>
          <w:szCs w:val="24"/>
        </w:rPr>
        <w:instrText>ADDIN CSL_CITATION {"citationItems":[{"id":"ITEM-1","itemData":{"DOI":"10.1016/j.epsl.2010.08.032","ISBN":"0012821X","author":[{"dropping-particle":"","family":"Pinzuti","given":"Paul","non-dropping-particle":"","parse-names":false,"suffix":""},{"dropping-particle":"","family":"Mignan","given":"Arnaud","non-dropping-particle":"","parse-names":false,"suffix":""},{"dropping-particle":"","family":"King","given":"Geoffrey C P","non-dropping-particle":"","parse-names":false,"suffix":""}],"container-title":"Earth and Planetary Science Letters","id":"ITEM-1","issue":"1-2","issued":{"date-parts":[["2010"]]},"page":"169-179","title":"Surface morphology of active normal faults in hard rock: Implications for the mechanics of the Asal Rift, Djibouti","title-short":"Surface morphology of active normal faults in hard","type":"article-journal","volume":"299"},"uris":["http://www.mendeley.com/documents/?uuid=507ae772-db92-4874-af37-7387e527f209"]}],"mendeley":{"formattedCitation":"(Pinzuti et al., 2010)","plainTextFormattedCitation":"(Pinzuti et al., 2010)","previouslyFormattedCitation":"(Pinzuti et al., 2010)"},"properties":{"noteIndex":0},"schema":"https://github.com/citation-style-language/schema/raw/master/csl-citation.json"}</w:instrText>
      </w:r>
      <w:r w:rsidR="00D45813">
        <w:rPr>
          <w:rFonts w:ascii="Times New Roman" w:hAnsi="Times New Roman" w:cs="Times New Roman"/>
          <w:sz w:val="24"/>
          <w:szCs w:val="24"/>
        </w:rPr>
        <w:fldChar w:fldCharType="separate"/>
      </w:r>
      <w:r w:rsidR="00D45813" w:rsidRPr="00D45813">
        <w:rPr>
          <w:rFonts w:ascii="Times New Roman" w:hAnsi="Times New Roman" w:cs="Times New Roman"/>
          <w:noProof/>
          <w:sz w:val="24"/>
          <w:szCs w:val="24"/>
        </w:rPr>
        <w:t>(Pinzuti et al., 2010)</w:t>
      </w:r>
      <w:r w:rsidR="00D45813">
        <w:rPr>
          <w:rFonts w:ascii="Times New Roman" w:hAnsi="Times New Roman" w:cs="Times New Roman"/>
          <w:sz w:val="24"/>
          <w:szCs w:val="24"/>
        </w:rPr>
        <w:fldChar w:fldCharType="end"/>
      </w:r>
      <w:r>
        <w:rPr>
          <w:rFonts w:ascii="Times New Roman" w:hAnsi="Times New Roman" w:cs="Times New Roman"/>
          <w:sz w:val="24"/>
          <w:szCs w:val="24"/>
        </w:rPr>
        <w:t xml:space="preserve">, and have been identified in CHIRP seismic reflection data for propagating faults in the Lake </w:t>
      </w:r>
      <w:proofErr w:type="spellStart"/>
      <w:r>
        <w:rPr>
          <w:rFonts w:ascii="Times New Roman" w:hAnsi="Times New Roman" w:cs="Times New Roman"/>
          <w:sz w:val="24"/>
          <w:szCs w:val="24"/>
        </w:rPr>
        <w:t>Thinvallavatn</w:t>
      </w:r>
      <w:proofErr w:type="spellEnd"/>
      <w:r>
        <w:rPr>
          <w:rFonts w:ascii="Times New Roman" w:hAnsi="Times New Roman" w:cs="Times New Roman"/>
          <w:sz w:val="24"/>
          <w:szCs w:val="24"/>
        </w:rPr>
        <w:t xml:space="preserve"> rift in southwest Iceland</w:t>
      </w:r>
      <w:r w:rsidR="001D0431">
        <w:rPr>
          <w:rFonts w:ascii="Times New Roman" w:hAnsi="Times New Roman" w:cs="Times New Roman"/>
          <w:sz w:val="24"/>
          <w:szCs w:val="24"/>
        </w:rPr>
        <w:t xml:space="preserve"> </w:t>
      </w:r>
      <w:r w:rsidR="001D0431">
        <w:rPr>
          <w:rFonts w:ascii="Times New Roman" w:hAnsi="Times New Roman" w:cs="Times New Roman"/>
          <w:sz w:val="24"/>
          <w:szCs w:val="24"/>
        </w:rPr>
        <w:fldChar w:fldCharType="begin" w:fldLock="1"/>
      </w:r>
      <w:r w:rsidR="00103C66">
        <w:rPr>
          <w:rFonts w:ascii="Times New Roman" w:hAnsi="Times New Roman" w:cs="Times New Roman"/>
          <w:sz w:val="24"/>
          <w:szCs w:val="24"/>
        </w:rPr>
        <w:instrText>ADDIN CSL_CITATION {"citationItems":[{"id":"ITEM-1","itemData":{"DOI":"10.1046/j.1365-246X.2003.01990.x","ISBN":"0956-540X","abstract":"We present high-resolution 'Chirp' sub-bottom profiler data from Thingvallavatn, a lake in Iceland's western rift zone. These data are combined with stratigraphic constraints from sediment cores to show that movement on normal faults since 9 ka are temporally correlated with magmatic events, indicating that movements were controlled by episodic dyke intrusion. Sediment depo-centres and the focus of subsidence migrated westwards over 3-4 kyr towards the locus of subsequent brittle failure. We interpret this subsidence as related to dyke intrusion a few km along strike, originating from the Hengill volcanic system, which occurred prior to major dyking, faulting and subsidence within the lake at 1.9 ka.","author":[{"dropping-particle":"","family":"Bull","given":"J M","non-dropping-particle":"","parse-names":false,"suffix":""},{"dropping-particle":"","family":"Minshull","given":"T A","non-dropping-particle":"","parse-names":false,"suffix":""},{"dropping-particle":"","family":"Mitchell","given":"N C","non-dropping-particle":"","parse-names":false,"suffix":""},{"dropping-particle":"","family":"Thors","given":"K","non-dropping-particle":"","parse-names":false,"suffix":""},{"dropping-particle":"","family":"Dix","given":"J K","non-dropping-particle":"","parse-names":false,"suffix":""},{"dropping-particle":"","family":"Best","given":"A I","non-dropping-particle":"","parse-names":false,"suffix":""}],"container-title":"Geophysical Journal International","id":"ITEM-1","issue":"1","issued":{"date-parts":[["2003"]]},"note":"Bull, JM Minshull, TA Mitchell, NC Thors, K Dix, JK Best, AI\nMitchell, Neil/B-9807-2008; Dix, Justin/E-7289-2011; Minshull, Timothy/D-1147-2010\nDix, Justin/0000-0003-2905-5403; Minshull, Timothy/0000-0002-8202-1379; Mitchell, Neil/0000-0002-6483-2450; Bull, Jonathan/0000-0003-3373-5807\n1365-246x","page":"F1-F7","title":"Fault and magmatic interaction within Iceland's western rift over the last 9 kyr","type":"article-journal","volume":"154"},"uris":["http://www.mendeley.com/documents/?uuid=34a77023-3484-45b7-9e4c-df1f47cad9f2"]},{"id":"ITEM-2","itemData":{"DOI":"10.1130/b25729.1","ISBN":"0016-7606","abstract":"High rates of Holocene sedimentation in a lake spanning the Thingvellir rift zone of western Iceland provide an unusual opportunity to study the interaction of tectonic and magmatic processes on time scales of thousands of years. Lake Thingvallavatn is oriented SW-NE, parallel to the trend of normal faults and fissures, which extend northeast from Hengill, a central volcano system. Thingvallavatn's lake sediments provide a continuous high-fidelity record of tectono-magmatic processes. Chirp subbottom profiler and sidescan records, together with sediment core information, enabled us to improve constraints on lake stratigraphy since the emplacement of a postglacial lava at 9.1 +/- 0.3 ka. This lava, together with three younger horizons, enabled detailed study of the main tectonic and magmatic events. A major Hengill volcanic event, which controlled the development of the present-day lake morphology, occurred at 1.9 ka, with the eruption of a scoria cone within the lake (Sandey). During this event, the Nesjahraun lava was erupted into the southern part of the lake, the Sandey scoria cone was formed, and major faulting and subsidence occurred in the northern part of the lake, resulting in the formation of an asymmetrical rift. Within the southern part of the lake, a deformed sequence of sediments aged 2.9-1.5 ka, between undeformed younger and older sedi-indicates that liquefaction phenomena are associated with the emplacement of the Nesjahraun lava. Analysis of fault displacement reveals that the total throw summed over all faults across the width of the rift zone is approximately constant (110-130 m) along the long axis of the rift. We estimate an extension rate on the faults of 3.3-8.2 mm yr(-1) since 9.1 ka, assuming fault dips of 60-75 degrees, which represents 17%-43% of the total plate boundary extension estimated from global plate motion inversion. We speculate that the remaining extension must either be taken up elsewhere in Iceland, for example in the eastern rift zone or along the South Iceland seismic zone, or that extension estimated over the last 9 k.y. underestimates the long-term extension rate due to incomplete sampling of the episodic magmatic component.","author":[{"dropping-particle":"","family":"Bull","given":"J M","non-dropping-particle":"","parse-names":false,"suffix":""},{"dropping-particle":"","family":"Minshull","given":"T A","non-dropping-particle":"","parse-names":false,"suffix":""},{"dropping-particle":"","family":"Mitchell","given":"N C","non-dropping-particle":"","parse-names":false,"suffix":""},{"dropping-particle":"","family":"Dix","given":"J K","non-dropping-particle":"","parse-names":false,"suffix":""},{"dropping-particle":"","family":"Hardardottir","given":"J","non-dropping-particle":"","parse-names":false,"suffix":""}],"container-title":"Geological Society of America Bulletin","id":"ITEM-2","issue":"11-12","issued":{"date-parts":[["2005"]]},"note":"Bull, JM Minshull, TA Mitchell, NC Dix, JK Hardardottir, J\nMitchell, Neil/B-9807-2008; Minshull, Timothy/D-1147-2010; Dix, Justin/E-7289-2011\nMinshull, Timothy/0000-0002-8202-1379; Dix, Justin/0000-0003-2905-5403; Mitchell, Neil/0000-0002-6483-2450; Bull, Jonathan/0000-0003-3373-5807\n1943-2674","page":"1451-1465","title":"Magmatic and tectonic history of Iceland's western rift zone at Lake Thingvallavatn","type":"article-journal","volume":"117"},"uris":["http://www.mendeley.com/documents/?uuid=1e45af91-3db1-454a-9671-0f91acb5df7f"]}],"mendeley":{"formattedCitation":"(Bull et al., 2003, 2005)","plainTextFormattedCitation":"(Bull et al., 2003, 2005)","previouslyFormattedCitation":"(Bull et al., 2003, 2005)"},"properties":{"noteIndex":0},"schema":"https://github.com/citation-style-language/schema/raw/master/csl-citation.json"}</w:instrText>
      </w:r>
      <w:r w:rsidR="001D0431">
        <w:rPr>
          <w:rFonts w:ascii="Times New Roman" w:hAnsi="Times New Roman" w:cs="Times New Roman"/>
          <w:sz w:val="24"/>
          <w:szCs w:val="24"/>
        </w:rPr>
        <w:fldChar w:fldCharType="separate"/>
      </w:r>
      <w:r w:rsidR="001D0431" w:rsidRPr="001D0431">
        <w:rPr>
          <w:rFonts w:ascii="Times New Roman" w:hAnsi="Times New Roman" w:cs="Times New Roman"/>
          <w:noProof/>
          <w:sz w:val="24"/>
          <w:szCs w:val="24"/>
        </w:rPr>
        <w:t>(Bull et al., 2003, 2005)</w:t>
      </w:r>
      <w:r w:rsidR="001D0431">
        <w:rPr>
          <w:rFonts w:ascii="Times New Roman" w:hAnsi="Times New Roman" w:cs="Times New Roman"/>
          <w:sz w:val="24"/>
          <w:szCs w:val="24"/>
        </w:rPr>
        <w:fldChar w:fldCharType="end"/>
      </w:r>
      <w:r w:rsidR="0081567A">
        <w:rPr>
          <w:rFonts w:ascii="Times New Roman" w:hAnsi="Times New Roman" w:cs="Times New Roman"/>
          <w:sz w:val="24"/>
          <w:szCs w:val="24"/>
        </w:rPr>
        <w:t>. Numerical mode</w:t>
      </w:r>
      <w:r>
        <w:rPr>
          <w:rFonts w:ascii="Times New Roman" w:hAnsi="Times New Roman" w:cs="Times New Roman"/>
          <w:sz w:val="24"/>
          <w:szCs w:val="24"/>
        </w:rPr>
        <w:t>ling results support the development of monoclinal folds in the shallow subsurface during the upward propagation of blind normal faults (i.e., fault planes that do not intersect the ground surface) (Grant and Kattenhorn, 2004). Although these structures do not appear as distinct normal fault planes, fault propagation folds do offset the shallow subsurface, with the magnitudes of these fold being roughly equivalent to throw accumulated at depth along the fault plane</w:t>
      </w:r>
      <w:r w:rsidR="00103C66">
        <w:rPr>
          <w:rFonts w:ascii="Times New Roman" w:hAnsi="Times New Roman" w:cs="Times New Roman"/>
          <w:sz w:val="24"/>
          <w:szCs w:val="24"/>
        </w:rPr>
        <w:t xml:space="preserve"> </w:t>
      </w:r>
      <w:r w:rsidR="00103C66">
        <w:rPr>
          <w:rFonts w:ascii="Times New Roman" w:hAnsi="Times New Roman" w:cs="Times New Roman"/>
          <w:sz w:val="24"/>
          <w:szCs w:val="24"/>
        </w:rPr>
        <w:fldChar w:fldCharType="begin" w:fldLock="1"/>
      </w:r>
      <w:r w:rsidR="00103C66">
        <w:rPr>
          <w:rFonts w:ascii="Times New Roman" w:hAnsi="Times New Roman" w:cs="Times New Roman"/>
          <w:sz w:val="24"/>
          <w:szCs w:val="24"/>
        </w:rPr>
        <w:instrText>ADDIN CSL_CITATION {"citationItems":[{"id":"ITEM-1","itemData":{"DOI":"10.1016/j.jsg.2003.07.003","ISBN":"01918141","author":[{"dropping-particle":"V","family":"Grant","given":"James","non-dropping-particle":"","parse-names":false,"suffix":""},{"dropping-particle":"","family":"Kattenhorn","given":"Simon A","non-dropping-particle":"","parse-names":false,"suffix":""}],"container-title":"Journal of Structural Geology","id":"ITEM-1","issue":"3","issued":{"date-parts":[["2004"]]},"page":"537-557","title":"Evolution of vertical faults at an extensional plate boundary, southwest Iceland","title-short":"Evolution of vertical faults at an extensional pla","type":"article-journal","volume":"26"},"uris":["http://www.mendeley.com/documents/?uuid=45292990-a8d2-47b7-b9c5-d21a1282ae35"]},{"id":"ITEM-2","itemData":{"DOI":"10.1016/j.epsl.2018.11.004","ISSN":"0012-821X","author":[{"dropping-particle":"","family":"Muirhead","given":"James D","non-dropping-particle":"","parse-names":false,"suffix":""},{"dropping-particle":"","family":"Wright","given":"Lachlan J M","non-dropping-particle":"","parse-names":false,"suffix":""},{"dropping-particle":"","family":"Scholz","given":"Christopher A","non-dropping-particle":"","parse-names":false,"suffix":""}],"container-title":"Earth and Planetary Science Letters","id":"ITEM-2","issued":{"date-parts":[["2019"]]},"page":"332-346","publisher":"Elsevier B.V.","title":"Rift evolution in regions of low magma input in East Africa","type":"article-journal","volume":"506"},"uris":["http://www.mendeley.com/documents/?uuid=b26d7166-73fc-4ba3-97b7-99d2aefc4050"]}],"mendeley":{"formattedCitation":"(Grant &amp; Kattenhorn, 2004; James D Muirhead et al., 2019)","manualFormatting":"(Grant &amp; Kattenhorn, 2004; Muirhead et al., 2019)","plainTextFormattedCitation":"(Grant &amp; Kattenhorn, 2004; James D Muirhead et al., 2019)","previouslyFormattedCitation":"(Grant &amp; Kattenhorn, 2004; James D Muirhead et al., 2019)"},"properties":{"noteIndex":0},"schema":"https://github.com/citation-style-language/schema/raw/master/csl-citation.json"}</w:instrText>
      </w:r>
      <w:r w:rsidR="00103C66">
        <w:rPr>
          <w:rFonts w:ascii="Times New Roman" w:hAnsi="Times New Roman" w:cs="Times New Roman"/>
          <w:sz w:val="24"/>
          <w:szCs w:val="24"/>
        </w:rPr>
        <w:fldChar w:fldCharType="separate"/>
      </w:r>
      <w:r w:rsidR="00103C66" w:rsidRPr="00103C66">
        <w:rPr>
          <w:rFonts w:ascii="Times New Roman" w:hAnsi="Times New Roman" w:cs="Times New Roman"/>
          <w:noProof/>
          <w:sz w:val="24"/>
          <w:szCs w:val="24"/>
        </w:rPr>
        <w:t>(Grant &amp; Kattenhorn, 2004; Muirhead et al., 2019)</w:t>
      </w:r>
      <w:r w:rsidR="00103C66">
        <w:rPr>
          <w:rFonts w:ascii="Times New Roman" w:hAnsi="Times New Roman" w:cs="Times New Roman"/>
          <w:sz w:val="24"/>
          <w:szCs w:val="24"/>
        </w:rPr>
        <w:fldChar w:fldCharType="end"/>
      </w:r>
      <w:r>
        <w:rPr>
          <w:rFonts w:ascii="Times New Roman" w:hAnsi="Times New Roman" w:cs="Times New Roman"/>
          <w:sz w:val="24"/>
          <w:szCs w:val="24"/>
        </w:rPr>
        <w:t>. Once the upward propagating fault plane intersects the shallow monocline, the process of folding ceases, and extensional strain at this depth is primarily accommodated via fault slip.</w:t>
      </w:r>
    </w:p>
    <w:p w14:paraId="3FD07C4C" w14:textId="77777777" w:rsidR="00542673" w:rsidRDefault="00542673" w:rsidP="0054267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Monoclinal folds are a common feature in shallow sediments of the South Turkana </w:t>
      </w:r>
      <w:r w:rsidR="007154C1">
        <w:rPr>
          <w:rFonts w:ascii="Times New Roman" w:hAnsi="Times New Roman" w:cs="Times New Roman"/>
          <w:sz w:val="24"/>
          <w:szCs w:val="24"/>
        </w:rPr>
        <w:t>B</w:t>
      </w:r>
      <w:r>
        <w:rPr>
          <w:rFonts w:ascii="Times New Roman" w:hAnsi="Times New Roman" w:cs="Times New Roman"/>
          <w:sz w:val="24"/>
          <w:szCs w:val="24"/>
        </w:rPr>
        <w:t xml:space="preserve">asin. It is likely that these structures represent fault propagation folds for the following reason: </w:t>
      </w:r>
    </w:p>
    <w:p w14:paraId="3C3D4614" w14:textId="77777777" w:rsidR="00542673" w:rsidRPr="0068018E" w:rsidRDefault="00542673" w:rsidP="00542673">
      <w:pPr>
        <w:pStyle w:val="ListParagraph"/>
        <w:numPr>
          <w:ilvl w:val="0"/>
          <w:numId w:val="1"/>
        </w:numPr>
        <w:spacing w:line="480" w:lineRule="auto"/>
        <w:rPr>
          <w:rFonts w:ascii="Times New Roman" w:hAnsi="Times New Roman" w:cs="Times New Roman"/>
          <w:sz w:val="24"/>
          <w:szCs w:val="24"/>
        </w:rPr>
      </w:pPr>
      <w:r w:rsidRPr="0068018E">
        <w:rPr>
          <w:rFonts w:ascii="Times New Roman" w:hAnsi="Times New Roman" w:cs="Times New Roman"/>
          <w:sz w:val="24"/>
          <w:szCs w:val="24"/>
        </w:rPr>
        <w:t>All monocl</w:t>
      </w:r>
      <w:r>
        <w:rPr>
          <w:rFonts w:ascii="Times New Roman" w:hAnsi="Times New Roman" w:cs="Times New Roman"/>
          <w:sz w:val="24"/>
          <w:szCs w:val="24"/>
        </w:rPr>
        <w:t>i</w:t>
      </w:r>
      <w:r w:rsidRPr="0068018E">
        <w:rPr>
          <w:rFonts w:ascii="Times New Roman" w:hAnsi="Times New Roman" w:cs="Times New Roman"/>
          <w:sz w:val="24"/>
          <w:szCs w:val="24"/>
        </w:rPr>
        <w:t xml:space="preserve">nal folds </w:t>
      </w:r>
      <w:r>
        <w:rPr>
          <w:rFonts w:ascii="Times New Roman" w:hAnsi="Times New Roman" w:cs="Times New Roman"/>
          <w:sz w:val="24"/>
          <w:szCs w:val="24"/>
        </w:rPr>
        <w:t xml:space="preserve">have </w:t>
      </w:r>
      <w:r w:rsidRPr="0068018E">
        <w:rPr>
          <w:rFonts w:ascii="Times New Roman" w:hAnsi="Times New Roman" w:cs="Times New Roman"/>
          <w:sz w:val="24"/>
          <w:szCs w:val="24"/>
        </w:rPr>
        <w:t xml:space="preserve">limited </w:t>
      </w:r>
      <w:r w:rsidRPr="00CA3827">
        <w:rPr>
          <w:rFonts w:ascii="Times New Roman" w:hAnsi="Times New Roman" w:cs="Times New Roman"/>
          <w:sz w:val="24"/>
          <w:szCs w:val="24"/>
        </w:rPr>
        <w:t>amplitudes (</w:t>
      </w:r>
      <w:r w:rsidR="00CA3827" w:rsidRPr="00CA3827">
        <w:rPr>
          <w:rFonts w:ascii="Times New Roman" w:hAnsi="Times New Roman" w:cs="Times New Roman"/>
          <w:sz w:val="24"/>
          <w:szCs w:val="24"/>
        </w:rPr>
        <w:t>3.7</w:t>
      </w:r>
      <w:r w:rsidRPr="00CA3827">
        <w:rPr>
          <w:rFonts w:ascii="Times New Roman" w:hAnsi="Times New Roman" w:cs="Times New Roman"/>
          <w:sz w:val="24"/>
          <w:szCs w:val="24"/>
        </w:rPr>
        <w:t xml:space="preserve"> m</w:t>
      </w:r>
      <w:r w:rsidR="00047039" w:rsidRPr="00CA3827">
        <w:rPr>
          <w:rFonts w:ascii="Times New Roman" w:hAnsi="Times New Roman" w:cs="Times New Roman"/>
          <w:sz w:val="24"/>
          <w:szCs w:val="24"/>
        </w:rPr>
        <w:t xml:space="preserve"> max.</w:t>
      </w:r>
      <w:r w:rsidRPr="00CA3827">
        <w:rPr>
          <w:rFonts w:ascii="Times New Roman" w:hAnsi="Times New Roman" w:cs="Times New Roman"/>
          <w:sz w:val="24"/>
          <w:szCs w:val="24"/>
        </w:rPr>
        <w:t>). This</w:t>
      </w:r>
      <w:r w:rsidRPr="0068018E">
        <w:rPr>
          <w:rFonts w:ascii="Times New Roman" w:hAnsi="Times New Roman" w:cs="Times New Roman"/>
          <w:sz w:val="24"/>
          <w:szCs w:val="24"/>
        </w:rPr>
        <w:t xml:space="preserve"> is presumabl</w:t>
      </w:r>
      <w:r w:rsidR="00047039">
        <w:rPr>
          <w:rFonts w:ascii="Times New Roman" w:hAnsi="Times New Roman" w:cs="Times New Roman"/>
          <w:sz w:val="24"/>
          <w:szCs w:val="24"/>
        </w:rPr>
        <w:t>y</w:t>
      </w:r>
      <w:r w:rsidRPr="0068018E">
        <w:rPr>
          <w:rFonts w:ascii="Times New Roman" w:hAnsi="Times New Roman" w:cs="Times New Roman"/>
          <w:sz w:val="24"/>
          <w:szCs w:val="24"/>
        </w:rPr>
        <w:t xml:space="preserve"> because there is a maximum amount of strain, i.e. folding near th</w:t>
      </w:r>
      <w:r>
        <w:rPr>
          <w:rFonts w:ascii="Times New Roman" w:hAnsi="Times New Roman" w:cs="Times New Roman"/>
          <w:sz w:val="24"/>
          <w:szCs w:val="24"/>
        </w:rPr>
        <w:t>e surface and faulting at depth</w:t>
      </w:r>
      <w:r w:rsidR="00CA3827">
        <w:rPr>
          <w:rFonts w:ascii="Times New Roman" w:hAnsi="Times New Roman" w:cs="Times New Roman"/>
          <w:sz w:val="24"/>
          <w:szCs w:val="24"/>
        </w:rPr>
        <w:t xml:space="preserve">, </w:t>
      </w:r>
      <w:r w:rsidRPr="0068018E">
        <w:rPr>
          <w:rFonts w:ascii="Times New Roman" w:hAnsi="Times New Roman" w:cs="Times New Roman"/>
          <w:sz w:val="24"/>
          <w:szCs w:val="24"/>
        </w:rPr>
        <w:t>that can accumulate before the upward propagating fault intersections the shallow monocline. At this poi</w:t>
      </w:r>
      <w:r w:rsidR="000D6526">
        <w:rPr>
          <w:rFonts w:ascii="Times New Roman" w:hAnsi="Times New Roman" w:cs="Times New Roman"/>
          <w:sz w:val="24"/>
          <w:szCs w:val="24"/>
        </w:rPr>
        <w:t>nt, the folding processes cease</w:t>
      </w:r>
      <w:r w:rsidRPr="0068018E">
        <w:rPr>
          <w:rFonts w:ascii="Times New Roman" w:hAnsi="Times New Roman" w:cs="Times New Roman"/>
          <w:sz w:val="24"/>
          <w:szCs w:val="24"/>
        </w:rPr>
        <w:t>.</w:t>
      </w:r>
    </w:p>
    <w:p w14:paraId="15B63846" w14:textId="77777777" w:rsidR="00542673" w:rsidRDefault="00542673" w:rsidP="0054267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In places, faults transition upward from a distinct fault plane into a monoclinal fold. </w:t>
      </w:r>
    </w:p>
    <w:p w14:paraId="0A998217" w14:textId="77777777" w:rsidR="00542673" w:rsidRDefault="00542673" w:rsidP="0054267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F</w:t>
      </w:r>
      <w:r w:rsidRPr="00CB7E71">
        <w:rPr>
          <w:rFonts w:ascii="Times New Roman" w:hAnsi="Times New Roman" w:cs="Times New Roman"/>
          <w:sz w:val="24"/>
          <w:szCs w:val="24"/>
        </w:rPr>
        <w:t xml:space="preserve">aults </w:t>
      </w:r>
      <w:r>
        <w:rPr>
          <w:rFonts w:ascii="Times New Roman" w:hAnsi="Times New Roman" w:cs="Times New Roman"/>
          <w:sz w:val="24"/>
          <w:szCs w:val="24"/>
        </w:rPr>
        <w:t>also transition along-</w:t>
      </w:r>
      <w:r w:rsidRPr="00CB7E71">
        <w:rPr>
          <w:rFonts w:ascii="Times New Roman" w:hAnsi="Times New Roman" w:cs="Times New Roman"/>
          <w:sz w:val="24"/>
          <w:szCs w:val="24"/>
        </w:rPr>
        <w:t>strike into monocl</w:t>
      </w:r>
      <w:r>
        <w:rPr>
          <w:rFonts w:ascii="Times New Roman" w:hAnsi="Times New Roman" w:cs="Times New Roman"/>
          <w:sz w:val="24"/>
          <w:szCs w:val="24"/>
        </w:rPr>
        <w:t>i</w:t>
      </w:r>
      <w:r w:rsidRPr="00CB7E71">
        <w:rPr>
          <w:rFonts w:ascii="Times New Roman" w:hAnsi="Times New Roman" w:cs="Times New Roman"/>
          <w:sz w:val="24"/>
          <w:szCs w:val="24"/>
        </w:rPr>
        <w:t>nal folds near the</w:t>
      </w:r>
      <w:r>
        <w:rPr>
          <w:rFonts w:ascii="Times New Roman" w:hAnsi="Times New Roman" w:cs="Times New Roman"/>
          <w:sz w:val="24"/>
          <w:szCs w:val="24"/>
        </w:rPr>
        <w:t>ir</w:t>
      </w:r>
      <w:r w:rsidRPr="00CB7E71">
        <w:rPr>
          <w:rFonts w:ascii="Times New Roman" w:hAnsi="Times New Roman" w:cs="Times New Roman"/>
          <w:sz w:val="24"/>
          <w:szCs w:val="24"/>
        </w:rPr>
        <w:t xml:space="preserve"> distal ends. Similar observations are observed for fault propagation folds in the Lake </w:t>
      </w:r>
      <w:proofErr w:type="spellStart"/>
      <w:r w:rsidRPr="00CB7E71">
        <w:rPr>
          <w:rFonts w:ascii="Times New Roman" w:hAnsi="Times New Roman" w:cs="Times New Roman"/>
          <w:sz w:val="24"/>
          <w:szCs w:val="24"/>
        </w:rPr>
        <w:t>Thinvallavatn</w:t>
      </w:r>
      <w:proofErr w:type="spellEnd"/>
      <w:r w:rsidRPr="00CB7E71">
        <w:rPr>
          <w:rFonts w:ascii="Times New Roman" w:hAnsi="Times New Roman" w:cs="Times New Roman"/>
          <w:sz w:val="24"/>
          <w:szCs w:val="24"/>
        </w:rPr>
        <w:t>, Iceland (Bull et al., 2005)</w:t>
      </w:r>
    </w:p>
    <w:p w14:paraId="3E2069B9" w14:textId="77777777" w:rsidR="00542673" w:rsidRDefault="00542673" w:rsidP="00D32C73">
      <w:pPr>
        <w:widowControl w:val="0"/>
        <w:autoSpaceDE w:val="0"/>
        <w:autoSpaceDN w:val="0"/>
        <w:adjustRightInd w:val="0"/>
        <w:spacing w:after="0" w:line="480" w:lineRule="auto"/>
        <w:ind w:firstLine="720"/>
        <w:rPr>
          <w:rFonts w:ascii="Times New Roman" w:hAnsi="Times New Roman" w:cs="Times New Roman"/>
          <w:color w:val="1A1A1A"/>
          <w:sz w:val="24"/>
          <w:szCs w:val="24"/>
        </w:rPr>
      </w:pPr>
      <w:r>
        <w:rPr>
          <w:rFonts w:ascii="Times New Roman" w:hAnsi="Times New Roman" w:cs="Times New Roman"/>
          <w:color w:val="1A1A1A"/>
          <w:sz w:val="24"/>
          <w:szCs w:val="24"/>
        </w:rPr>
        <w:t>Based on these observations it is critical that o</w:t>
      </w:r>
      <w:r w:rsidRPr="00761C3B">
        <w:rPr>
          <w:rFonts w:ascii="Times New Roman" w:hAnsi="Times New Roman" w:cs="Times New Roman"/>
          <w:color w:val="1A1A1A"/>
          <w:sz w:val="24"/>
          <w:szCs w:val="24"/>
        </w:rPr>
        <w:t>ur</w:t>
      </w:r>
      <w:r>
        <w:rPr>
          <w:rFonts w:ascii="Times New Roman" w:hAnsi="Times New Roman" w:cs="Times New Roman"/>
          <w:color w:val="1A1A1A"/>
          <w:sz w:val="24"/>
          <w:szCs w:val="24"/>
        </w:rPr>
        <w:t xml:space="preserve"> fault</w:t>
      </w:r>
      <w:r w:rsidRPr="00761C3B">
        <w:rPr>
          <w:rFonts w:ascii="Times New Roman" w:hAnsi="Times New Roman" w:cs="Times New Roman"/>
          <w:color w:val="1A1A1A"/>
          <w:sz w:val="24"/>
          <w:szCs w:val="24"/>
        </w:rPr>
        <w:t xml:space="preserve"> throw </w:t>
      </w:r>
      <w:r>
        <w:rPr>
          <w:rFonts w:ascii="Times New Roman" w:hAnsi="Times New Roman" w:cs="Times New Roman"/>
          <w:color w:val="1A1A1A"/>
          <w:sz w:val="24"/>
          <w:szCs w:val="24"/>
        </w:rPr>
        <w:t xml:space="preserve">data, used for estimating Holocene extension in the South Turkana basin, </w:t>
      </w:r>
      <w:r w:rsidRPr="00761C3B">
        <w:rPr>
          <w:rFonts w:ascii="Times New Roman" w:hAnsi="Times New Roman" w:cs="Times New Roman"/>
          <w:color w:val="1A1A1A"/>
          <w:sz w:val="24"/>
          <w:szCs w:val="24"/>
        </w:rPr>
        <w:t xml:space="preserve">account for </w:t>
      </w:r>
      <w:r>
        <w:rPr>
          <w:rFonts w:ascii="Times New Roman" w:hAnsi="Times New Roman" w:cs="Times New Roman"/>
          <w:color w:val="1A1A1A"/>
          <w:sz w:val="24"/>
          <w:szCs w:val="24"/>
        </w:rPr>
        <w:t xml:space="preserve">fault propagation </w:t>
      </w:r>
      <w:r w:rsidRPr="00761C3B">
        <w:rPr>
          <w:rFonts w:ascii="Times New Roman" w:hAnsi="Times New Roman" w:cs="Times New Roman"/>
          <w:color w:val="1A1A1A"/>
          <w:sz w:val="24"/>
          <w:szCs w:val="24"/>
        </w:rPr>
        <w:t xml:space="preserve">folding above fault </w:t>
      </w:r>
      <w:r w:rsidRPr="00761C3B">
        <w:rPr>
          <w:rFonts w:ascii="Times New Roman" w:hAnsi="Times New Roman" w:cs="Times New Roman"/>
          <w:color w:val="1A1A1A"/>
          <w:sz w:val="24"/>
          <w:szCs w:val="24"/>
        </w:rPr>
        <w:lastRenderedPageBreak/>
        <w:t>tip</w:t>
      </w:r>
      <w:r>
        <w:rPr>
          <w:rFonts w:ascii="Times New Roman" w:hAnsi="Times New Roman" w:cs="Times New Roman"/>
          <w:color w:val="1A1A1A"/>
          <w:sz w:val="24"/>
          <w:szCs w:val="24"/>
        </w:rPr>
        <w:t>s</w:t>
      </w:r>
      <w:r w:rsidRPr="00761C3B">
        <w:rPr>
          <w:rFonts w:ascii="Times New Roman" w:hAnsi="Times New Roman" w:cs="Times New Roman"/>
          <w:color w:val="1A1A1A"/>
          <w:sz w:val="24"/>
          <w:szCs w:val="24"/>
        </w:rPr>
        <w:t xml:space="preserve"> during initial </w:t>
      </w:r>
      <w:r>
        <w:rPr>
          <w:rFonts w:ascii="Times New Roman" w:hAnsi="Times New Roman" w:cs="Times New Roman"/>
          <w:color w:val="1A1A1A"/>
          <w:sz w:val="24"/>
          <w:szCs w:val="24"/>
        </w:rPr>
        <w:t xml:space="preserve">fault </w:t>
      </w:r>
      <w:r w:rsidRPr="00761C3B">
        <w:rPr>
          <w:rFonts w:ascii="Times New Roman" w:hAnsi="Times New Roman" w:cs="Times New Roman"/>
          <w:color w:val="1A1A1A"/>
          <w:sz w:val="24"/>
          <w:szCs w:val="24"/>
        </w:rPr>
        <w:t>growth.</w:t>
      </w:r>
      <w:r>
        <w:rPr>
          <w:rFonts w:ascii="Times New Roman" w:hAnsi="Times New Roman" w:cs="Times New Roman"/>
          <w:color w:val="1A1A1A"/>
          <w:sz w:val="24"/>
          <w:szCs w:val="24"/>
        </w:rPr>
        <w:t xml:space="preserve"> Consistent with previous reflection seismic and field studies of normal faults associated with fault-propagation faults</w:t>
      </w:r>
      <w:r w:rsidR="00103C66">
        <w:rPr>
          <w:rFonts w:ascii="Times New Roman" w:hAnsi="Times New Roman" w:cs="Times New Roman"/>
          <w:color w:val="1A1A1A"/>
          <w:sz w:val="24"/>
          <w:szCs w:val="24"/>
        </w:rPr>
        <w:t xml:space="preserve"> </w:t>
      </w:r>
      <w:r w:rsidR="00103C66">
        <w:rPr>
          <w:rFonts w:ascii="Times New Roman" w:hAnsi="Times New Roman" w:cs="Times New Roman"/>
          <w:color w:val="1A1A1A"/>
          <w:sz w:val="24"/>
          <w:szCs w:val="24"/>
        </w:rPr>
        <w:fldChar w:fldCharType="begin" w:fldLock="1"/>
      </w:r>
      <w:r w:rsidR="00103C66">
        <w:rPr>
          <w:rFonts w:ascii="Times New Roman" w:hAnsi="Times New Roman" w:cs="Times New Roman"/>
          <w:color w:val="1A1A1A"/>
          <w:sz w:val="24"/>
          <w:szCs w:val="24"/>
        </w:rPr>
        <w:instrText>ADDIN CSL_CITATION {"citationItems":[{"id":"ITEM-1","itemData":{"author":[{"dropping-particle":"","family":"Homberg","given":"C.","non-dropping-particle":"","parse-names":false,"suffix":""},{"dropping-particle":"","family":"Schnyder","given":"J.","non-dropping-particle":"","parse-names":false,"suffix":""},{"dropping-particle":"","family":"Roche","given":"V.","non-dropping-particle":"","parse-names":false,"suffix":""},{"dropping-particle":"","family":"Leonard","given":"V.","non-dropping-particle":"","parse-names":false,"suffix":""},{"dropping-particle":"","family":"Benzaggagh","given":"M.","non-dropping-particle":"","parse-names":false,"suffix":""}],"container-title":"Geological Society, London, Special Publications","id":"ITEM-1","issued":{"date-parts":[["2017"]]},"page":"395–412","title":"The brittle and ductile components of displacement along fault zones","type":"article-journal","volume":"439"},"uris":["http://www.mendeley.com/documents/?uuid=6e21e041-0ab1-4415-9207-1c15118d72ca"]},{"id":"ITEM-2","itemData":{"author":[{"dropping-particle":"","family":"Lăpădat","given":"A.","non-dropping-particle":"","parse-names":false,"suffix":""},{"dropping-particle":"","family":"Imber","given":"J.","non-dropping-particle":"","parse-names":false,"suffix":""},{"dropping-particle":"","family":"Yielding","given":"G.","non-dropping-particle":"","parse-names":false,"suffix":""},{"dropping-particle":"","family":"Iacopini","given":"D.","non-dropping-particle":"","parse-names":false,"suffix":""},{"dropping-particle":"","family":"McCaffrey","given":"K.J.W.","non-dropping-particle":"","parse-names":false,"suffix":""},{"dropping-particle":"","family":"Long","given":"J.J.","non-dropping-particle":"","parse-names":false,"suffix":""},{"dropping-particle":"","family":"Jones","given":"R.R.","non-dropping-particle":"","parse-names":false,"suffix":""}],"container-title":"Geological Society, London, Special Publications","id":"ITEM-2","issued":{"date-parts":[["2017"]]},"page":"373-394","title":"Occurrence and development of folding related to normal faulting within a mechanically heterogeneous sedimentary sequence: a case study from Inner Moray Firth, UK","type":"article-journal","volume":"439"},"uris":["http://www.mendeley.com/documents/?uuid=0820c3af-b13f-4cda-808c-13b894af80dc"]}],"mendeley":{"formattedCitation":"(Homberg et al., 2017; Lăpădat et al., 2017)","manualFormatting":"(e.g., Homberg et al., 2017; Lăpădat et al., 2017)","plainTextFormattedCitation":"(Homberg et al., 2017; Lăpădat et al., 2017)","previouslyFormattedCitation":"(Homberg et al., 2017; Lăpădat et al., 2017)"},"properties":{"noteIndex":0},"schema":"https://github.com/citation-style-language/schema/raw/master/csl-citation.json"}</w:instrText>
      </w:r>
      <w:r w:rsidR="00103C66">
        <w:rPr>
          <w:rFonts w:ascii="Times New Roman" w:hAnsi="Times New Roman" w:cs="Times New Roman"/>
          <w:color w:val="1A1A1A"/>
          <w:sz w:val="24"/>
          <w:szCs w:val="24"/>
        </w:rPr>
        <w:fldChar w:fldCharType="separate"/>
      </w:r>
      <w:r w:rsidR="00103C66" w:rsidRPr="00103C66">
        <w:rPr>
          <w:rFonts w:ascii="Times New Roman" w:hAnsi="Times New Roman" w:cs="Times New Roman"/>
          <w:noProof/>
          <w:color w:val="1A1A1A"/>
          <w:sz w:val="24"/>
          <w:szCs w:val="24"/>
        </w:rPr>
        <w:t>(</w:t>
      </w:r>
      <w:r w:rsidR="00103C66">
        <w:rPr>
          <w:rFonts w:ascii="Times New Roman" w:hAnsi="Times New Roman" w:cs="Times New Roman"/>
          <w:noProof/>
          <w:color w:val="1A1A1A"/>
          <w:sz w:val="24"/>
          <w:szCs w:val="24"/>
        </w:rPr>
        <w:t xml:space="preserve">e.g., </w:t>
      </w:r>
      <w:r w:rsidR="00103C66" w:rsidRPr="00103C66">
        <w:rPr>
          <w:rFonts w:ascii="Times New Roman" w:hAnsi="Times New Roman" w:cs="Times New Roman"/>
          <w:noProof/>
          <w:color w:val="1A1A1A"/>
          <w:sz w:val="24"/>
          <w:szCs w:val="24"/>
        </w:rPr>
        <w:t>Homberg et al., 2017; Lăpădat et al., 2017)</w:t>
      </w:r>
      <w:r w:rsidR="00103C66">
        <w:rPr>
          <w:rFonts w:ascii="Times New Roman" w:hAnsi="Times New Roman" w:cs="Times New Roman"/>
          <w:color w:val="1A1A1A"/>
          <w:sz w:val="24"/>
          <w:szCs w:val="24"/>
        </w:rPr>
        <w:fldChar w:fldCharType="end"/>
      </w:r>
      <w:r>
        <w:rPr>
          <w:rFonts w:ascii="Times New Roman" w:hAnsi="Times New Roman" w:cs="Times New Roman"/>
          <w:color w:val="1A1A1A"/>
          <w:sz w:val="24"/>
          <w:szCs w:val="24"/>
        </w:rPr>
        <w:t>, our throw measurements account for both discontinuous (fault breaks) and continuous (fold) displacements</w:t>
      </w:r>
      <w:r w:rsidR="00D32C73">
        <w:rPr>
          <w:rFonts w:ascii="Times New Roman" w:hAnsi="Times New Roman" w:cs="Times New Roman"/>
          <w:color w:val="1A1A1A"/>
          <w:sz w:val="24"/>
          <w:szCs w:val="24"/>
        </w:rPr>
        <w:t xml:space="preserve"> associated with the observed normal faulting (</w:t>
      </w:r>
      <w:r w:rsidR="00047039">
        <w:rPr>
          <w:rFonts w:ascii="Times New Roman" w:hAnsi="Times New Roman" w:cs="Times New Roman"/>
          <w:color w:val="1A1A1A"/>
          <w:sz w:val="24"/>
          <w:szCs w:val="24"/>
        </w:rPr>
        <w:t>F</w:t>
      </w:r>
      <w:r w:rsidR="00D32C73">
        <w:rPr>
          <w:rFonts w:ascii="Times New Roman" w:hAnsi="Times New Roman" w:cs="Times New Roman"/>
          <w:color w:val="1A1A1A"/>
          <w:sz w:val="24"/>
          <w:szCs w:val="24"/>
        </w:rPr>
        <w:t xml:space="preserve">igs. S2 and S3). </w:t>
      </w:r>
      <w:r>
        <w:rPr>
          <w:rFonts w:ascii="Times New Roman" w:hAnsi="Times New Roman" w:cs="Times New Roman"/>
          <w:color w:val="1A1A1A"/>
          <w:sz w:val="24"/>
          <w:szCs w:val="24"/>
        </w:rPr>
        <w:t xml:space="preserve">For our analyses, if </w:t>
      </w:r>
      <w:r w:rsidRPr="00761C3B">
        <w:rPr>
          <w:rFonts w:ascii="Times New Roman" w:hAnsi="Times New Roman" w:cs="Times New Roman"/>
          <w:color w:val="1A1A1A"/>
          <w:sz w:val="24"/>
          <w:szCs w:val="24"/>
        </w:rPr>
        <w:t>a monoclin</w:t>
      </w:r>
      <w:r>
        <w:rPr>
          <w:rFonts w:ascii="Times New Roman" w:hAnsi="Times New Roman" w:cs="Times New Roman"/>
          <w:color w:val="1A1A1A"/>
          <w:sz w:val="24"/>
          <w:szCs w:val="24"/>
        </w:rPr>
        <w:t xml:space="preserve">e is </w:t>
      </w:r>
      <w:r w:rsidRPr="00761C3B">
        <w:rPr>
          <w:rFonts w:ascii="Times New Roman" w:hAnsi="Times New Roman" w:cs="Times New Roman"/>
          <w:color w:val="1A1A1A"/>
          <w:sz w:val="24"/>
          <w:szCs w:val="24"/>
        </w:rPr>
        <w:t xml:space="preserve">observed above a distinct fault plane, the throw is estimated by measuring the height of the fold structure. </w:t>
      </w:r>
      <w:r>
        <w:rPr>
          <w:rFonts w:ascii="Times New Roman" w:hAnsi="Times New Roman" w:cs="Times New Roman"/>
          <w:color w:val="1A1A1A"/>
          <w:sz w:val="24"/>
          <w:szCs w:val="24"/>
        </w:rPr>
        <w:t>Additionally, monoclinal folds observed in seismic sections, that can also be traced along-strike into neighbor lines, are also assumed to be fault propagation folds and included in our structural dataset.</w:t>
      </w:r>
    </w:p>
    <w:p w14:paraId="7C84AEFA" w14:textId="77777777" w:rsidR="00542673" w:rsidRDefault="00542673" w:rsidP="00542673">
      <w:pPr>
        <w:widowControl w:val="0"/>
        <w:autoSpaceDE w:val="0"/>
        <w:autoSpaceDN w:val="0"/>
        <w:adjustRightInd w:val="0"/>
        <w:spacing w:after="0" w:line="480" w:lineRule="auto"/>
        <w:ind w:firstLine="720"/>
        <w:rPr>
          <w:rFonts w:ascii="Times New Roman" w:hAnsi="Times New Roman" w:cs="Times New Roman"/>
          <w:color w:val="1A1A1A"/>
          <w:sz w:val="24"/>
          <w:szCs w:val="24"/>
        </w:rPr>
      </w:pPr>
    </w:p>
    <w:p w14:paraId="0939A5AF" w14:textId="77777777" w:rsidR="008D546E" w:rsidRDefault="00EA2B24" w:rsidP="008D546E">
      <w:pPr>
        <w:spacing w:line="480" w:lineRule="auto"/>
        <w:rPr>
          <w:rFonts w:ascii="Times New Roman" w:hAnsi="Times New Roman" w:cs="Times New Roman"/>
          <w:b/>
          <w:i/>
          <w:sz w:val="24"/>
          <w:szCs w:val="24"/>
        </w:rPr>
      </w:pPr>
      <w:r w:rsidRPr="000D36DB">
        <w:rPr>
          <w:rFonts w:ascii="Times New Roman" w:hAnsi="Times New Roman" w:cs="Times New Roman"/>
          <w:b/>
          <w:i/>
          <w:sz w:val="24"/>
          <w:szCs w:val="24"/>
        </w:rPr>
        <w:t>Supplemental Text 3: Age model for Lake Turkana sediments from core 46P</w:t>
      </w:r>
    </w:p>
    <w:p w14:paraId="0395DD9B" w14:textId="77777777" w:rsidR="00673127" w:rsidRPr="008D546E" w:rsidRDefault="000D36DB" w:rsidP="005B12E1">
      <w:pPr>
        <w:spacing w:line="480" w:lineRule="auto"/>
        <w:ind w:firstLine="720"/>
        <w:rPr>
          <w:rFonts w:ascii="Times New Roman" w:hAnsi="Times New Roman" w:cs="Times New Roman"/>
          <w:b/>
          <w:i/>
          <w:sz w:val="24"/>
          <w:szCs w:val="24"/>
        </w:rPr>
      </w:pPr>
      <w:r w:rsidRPr="00137AB5">
        <w:rPr>
          <w:rFonts w:ascii="Times New Roman" w:hAnsi="Times New Roman" w:cs="Times New Roman"/>
          <w:color w:val="000000"/>
          <w:sz w:val="24"/>
          <w:szCs w:val="24"/>
        </w:rPr>
        <w:t>To constrain the age of Horizon 3 in the South Turkana Basin, we utilize core 46P of Morrissey and Sc</w:t>
      </w:r>
      <w:r w:rsidR="00103C66">
        <w:rPr>
          <w:rFonts w:ascii="Times New Roman" w:hAnsi="Times New Roman" w:cs="Times New Roman"/>
          <w:color w:val="000000"/>
          <w:sz w:val="24"/>
          <w:szCs w:val="24"/>
        </w:rPr>
        <w:t>h</w:t>
      </w:r>
      <w:r w:rsidRPr="00137AB5">
        <w:rPr>
          <w:rFonts w:ascii="Times New Roman" w:hAnsi="Times New Roman" w:cs="Times New Roman"/>
          <w:color w:val="000000"/>
          <w:sz w:val="24"/>
          <w:szCs w:val="24"/>
        </w:rPr>
        <w:t xml:space="preserve">olz </w:t>
      </w:r>
      <w:r w:rsidR="00103C66">
        <w:rPr>
          <w:rFonts w:ascii="Times New Roman" w:hAnsi="Times New Roman" w:cs="Times New Roman"/>
          <w:color w:val="000000"/>
          <w:sz w:val="24"/>
          <w:szCs w:val="24"/>
        </w:rPr>
        <w:fldChar w:fldCharType="begin" w:fldLock="1"/>
      </w:r>
      <w:r w:rsidR="001214F5">
        <w:rPr>
          <w:rFonts w:ascii="Times New Roman" w:hAnsi="Times New Roman" w:cs="Times New Roman"/>
          <w:color w:val="000000"/>
          <w:sz w:val="24"/>
          <w:szCs w:val="24"/>
        </w:rPr>
        <w:instrText>ADDIN CSL_CITATION {"citationItems":[{"id":"ITEM-1","itemData":{"DOI":"10.1016/j.palaeo.2014.03.029","ISBN":"0031-0182","abstract":"The detailed paleohydrological record of Lake Turkana, the largest lake in the eastern branch of the East African Rift, is necessary for determining the connectivity between adjacent watersheds in tropical Africa. The migration of both the Intertropical Convergence Zone (ITCZ) and the Congo Air Boundary (CAB) constrains rainfall amount and duration for most of East Africa. Lake Turkana, in northern Kenya, is the world's largest desert lake and experiences two ITCZ-associated rainy seasons annually, with cumulative rainfall of -200 mm/yr. Evidence from new continuous, high-fidelity sediment core records and high-resolution CHIRP seismic reflection data suggests that Lake Turkana received enough rainfall during the African Humid Period (AHP) to fill the lake to its sill (100 m above current lake level) and spilled over into the White Nile River system. An atmospheric configuration with an eastward-shifted CAB over the Turkana region and the northern Kenya Rift is invoked as an additional source of rainfall for the catchment. This configuration began abruptly at similar to 11 ka and lasted until -5 ka when Lake Turkana became a closed basin and was cut off from the White Nile. Prior to the AHP, Lake Turkana experienced at least two desiccation events following the Last Glacial Maximum at 18.5 and 17 ka when the lake was at least 100 m lower than modem, as evidenced by basin-wide, high amplitude reflections and C-14-dated shallow water facies in sediment cores. Lake level fluctuations generally follow trends in mean solar insolation, however the onset of lake level extremes are much more abrupt than rates of insolation change. lake Turkana's location in relation to atmospheric convergence and dynamic rainfall patterns makes its susceptible to extreme climate change over relatively short timescales. (C) 2014 Elsevier B.V. All rights reserved.","author":[{"dropping-particle":"","family":"Morrissey","given":"A","non-dropping-particle":"","parse-names":false,"suffix":""},{"dropping-particle":"","family":"Scholz","given":"C A","non-dropping-particle":"","parse-names":false,"suffix":""}],"container-title":"Palaeogeography Palaeoclimatology Palaeoecology","id":"ITEM-1","issued":{"date-parts":[["2014"]]},"note":"Morrissey, Amy Scholz, Christopher A.\n1872-616x","page":"88-100","title":"Paleohydrology of Lake Turkana and its influence on the Nile River system","type":"article-journal","volume":"403"},"uris":["http://www.mendeley.com/documents/?uuid=62368f47-dc74-4ffa-8369-a55582660dcb"]}],"mendeley":{"formattedCitation":"(Morrissey &amp; Scholz, 2014)","manualFormatting":"(2014)","plainTextFormattedCitation":"(Morrissey &amp; Scholz, 2014)","previouslyFormattedCitation":"(Morrissey &amp; Scholz, 2014)"},"properties":{"noteIndex":0},"schema":"https://github.com/citation-style-language/schema/raw/master/csl-citation.json"}</w:instrText>
      </w:r>
      <w:r w:rsidR="00103C66">
        <w:rPr>
          <w:rFonts w:ascii="Times New Roman" w:hAnsi="Times New Roman" w:cs="Times New Roman"/>
          <w:color w:val="000000"/>
          <w:sz w:val="24"/>
          <w:szCs w:val="24"/>
        </w:rPr>
        <w:fldChar w:fldCharType="separate"/>
      </w:r>
      <w:r w:rsidR="00103C66" w:rsidRPr="00103C66">
        <w:rPr>
          <w:rFonts w:ascii="Times New Roman" w:hAnsi="Times New Roman" w:cs="Times New Roman"/>
          <w:noProof/>
          <w:color w:val="000000"/>
          <w:sz w:val="24"/>
          <w:szCs w:val="24"/>
        </w:rPr>
        <w:t>(</w:t>
      </w:r>
      <w:r w:rsidR="00103C66">
        <w:rPr>
          <w:rFonts w:ascii="Times New Roman" w:hAnsi="Times New Roman" w:cs="Times New Roman"/>
          <w:noProof/>
          <w:color w:val="000000"/>
          <w:sz w:val="24"/>
          <w:szCs w:val="24"/>
        </w:rPr>
        <w:t>2</w:t>
      </w:r>
      <w:r w:rsidR="00103C66" w:rsidRPr="00103C66">
        <w:rPr>
          <w:rFonts w:ascii="Times New Roman" w:hAnsi="Times New Roman" w:cs="Times New Roman"/>
          <w:noProof/>
          <w:color w:val="000000"/>
          <w:sz w:val="24"/>
          <w:szCs w:val="24"/>
        </w:rPr>
        <w:t>014)</w:t>
      </w:r>
      <w:r w:rsidR="00103C66">
        <w:rPr>
          <w:rFonts w:ascii="Times New Roman" w:hAnsi="Times New Roman" w:cs="Times New Roman"/>
          <w:color w:val="000000"/>
          <w:sz w:val="24"/>
          <w:szCs w:val="24"/>
        </w:rPr>
        <w:fldChar w:fldCharType="end"/>
      </w:r>
      <w:r w:rsidRPr="00137AB5">
        <w:rPr>
          <w:rFonts w:ascii="Times New Roman" w:hAnsi="Times New Roman" w:cs="Times New Roman"/>
          <w:color w:val="000000"/>
          <w:sz w:val="24"/>
          <w:szCs w:val="24"/>
        </w:rPr>
        <w:t xml:space="preserve">, which was collected using a </w:t>
      </w:r>
      <w:proofErr w:type="spellStart"/>
      <w:r w:rsidRPr="00137AB5">
        <w:rPr>
          <w:rFonts w:ascii="Times New Roman" w:hAnsi="Times New Roman" w:cs="Times New Roman"/>
          <w:color w:val="000000"/>
          <w:sz w:val="24"/>
          <w:szCs w:val="24"/>
        </w:rPr>
        <w:t>Kullenberg</w:t>
      </w:r>
      <w:proofErr w:type="spellEnd"/>
      <w:r w:rsidRPr="00137AB5">
        <w:rPr>
          <w:rFonts w:ascii="Times New Roman" w:hAnsi="Times New Roman" w:cs="Times New Roman"/>
          <w:color w:val="000000"/>
          <w:sz w:val="24"/>
          <w:szCs w:val="24"/>
        </w:rPr>
        <w:t xml:space="preserve"> piston coring system</w:t>
      </w:r>
      <w:r w:rsidR="00001E55" w:rsidRPr="00137AB5">
        <w:rPr>
          <w:rFonts w:ascii="Times New Roman" w:hAnsi="Times New Roman" w:cs="Times New Roman"/>
          <w:color w:val="000000"/>
          <w:sz w:val="24"/>
          <w:szCs w:val="24"/>
        </w:rPr>
        <w:t xml:space="preserve"> (Fig. S</w:t>
      </w:r>
      <w:r w:rsidR="00137AB5" w:rsidRPr="00137AB5">
        <w:rPr>
          <w:rFonts w:ascii="Times New Roman" w:hAnsi="Times New Roman" w:cs="Times New Roman"/>
          <w:color w:val="000000"/>
          <w:sz w:val="24"/>
          <w:szCs w:val="24"/>
        </w:rPr>
        <w:t>4</w:t>
      </w:r>
      <w:r w:rsidR="00001E55" w:rsidRPr="00137AB5">
        <w:rPr>
          <w:rFonts w:ascii="Times New Roman" w:hAnsi="Times New Roman" w:cs="Times New Roman"/>
          <w:color w:val="000000"/>
          <w:sz w:val="24"/>
          <w:szCs w:val="24"/>
        </w:rPr>
        <w:t>)</w:t>
      </w:r>
      <w:r w:rsidRPr="00137AB5">
        <w:rPr>
          <w:rFonts w:ascii="Times New Roman" w:hAnsi="Times New Roman" w:cs="Times New Roman"/>
          <w:color w:val="000000"/>
          <w:sz w:val="24"/>
          <w:szCs w:val="24"/>
        </w:rPr>
        <w:t>. This 10.6 m-long core</w:t>
      </w:r>
      <w:r>
        <w:rPr>
          <w:rFonts w:ascii="Times New Roman" w:hAnsi="Times New Roman" w:cs="Times New Roman"/>
          <w:color w:val="000000"/>
          <w:sz w:val="24"/>
          <w:szCs w:val="24"/>
        </w:rPr>
        <w:t xml:space="preserve"> was collect </w:t>
      </w:r>
      <w:r w:rsidR="00B80F3C">
        <w:rPr>
          <w:rFonts w:ascii="Times New Roman" w:hAnsi="Times New Roman" w:cs="Times New Roman"/>
          <w:color w:val="000000"/>
          <w:sz w:val="24"/>
          <w:szCs w:val="24"/>
        </w:rPr>
        <w:t>~6 km from the shore</w:t>
      </w:r>
      <w:r w:rsidR="00673127">
        <w:rPr>
          <w:rFonts w:ascii="Times New Roman" w:hAnsi="Times New Roman" w:cs="Times New Roman"/>
          <w:color w:val="000000"/>
          <w:sz w:val="24"/>
          <w:szCs w:val="24"/>
        </w:rPr>
        <w:t xml:space="preserve">line </w:t>
      </w:r>
      <w:r>
        <w:rPr>
          <w:rFonts w:ascii="Times New Roman" w:hAnsi="Times New Roman" w:cs="Times New Roman"/>
          <w:color w:val="000000"/>
          <w:sz w:val="24"/>
          <w:szCs w:val="24"/>
        </w:rPr>
        <w:t xml:space="preserve">in the northeastern part of the basin at </w:t>
      </w:r>
      <w:r w:rsidR="00047039">
        <w:rPr>
          <w:rFonts w:ascii="Times New Roman" w:hAnsi="Times New Roman" w:cs="Times New Roman"/>
          <w:color w:val="000000"/>
          <w:sz w:val="24"/>
          <w:szCs w:val="24"/>
        </w:rPr>
        <w:t xml:space="preserve">a </w:t>
      </w:r>
      <w:r w:rsidRPr="000D36DB">
        <w:rPr>
          <w:rFonts w:ascii="Times New Roman" w:hAnsi="Times New Roman" w:cs="Times New Roman"/>
          <w:color w:val="000000"/>
          <w:sz w:val="24"/>
          <w:szCs w:val="24"/>
        </w:rPr>
        <w:t>water depth</w:t>
      </w:r>
      <w:r>
        <w:rPr>
          <w:rFonts w:ascii="Times New Roman" w:hAnsi="Times New Roman" w:cs="Times New Roman"/>
          <w:color w:val="000000"/>
          <w:sz w:val="24"/>
          <w:szCs w:val="24"/>
        </w:rPr>
        <w:t xml:space="preserve"> </w:t>
      </w:r>
      <w:r w:rsidR="00673127">
        <w:rPr>
          <w:rFonts w:ascii="Times New Roman" w:hAnsi="Times New Roman" w:cs="Times New Roman"/>
          <w:color w:val="000000"/>
          <w:sz w:val="24"/>
          <w:szCs w:val="24"/>
        </w:rPr>
        <w:t xml:space="preserve">of </w:t>
      </w:r>
      <w:r>
        <w:rPr>
          <w:rFonts w:ascii="Times New Roman" w:hAnsi="Times New Roman" w:cs="Times New Roman"/>
          <w:color w:val="000000"/>
          <w:sz w:val="24"/>
          <w:szCs w:val="24"/>
        </w:rPr>
        <w:t xml:space="preserve">56 </w:t>
      </w:r>
      <w:r w:rsidR="00673127">
        <w:rPr>
          <w:rFonts w:ascii="Times New Roman" w:hAnsi="Times New Roman" w:cs="Times New Roman"/>
          <w:color w:val="000000"/>
          <w:sz w:val="24"/>
          <w:szCs w:val="24"/>
        </w:rPr>
        <w:t xml:space="preserve">m. Morrisey and Scholz (2014) described the core lithology immediately after splitting and performed measurements of bulk density at Brown University using a GEOTEK MSCL-S whole core scanner, recorded at 1 cm intervals. </w:t>
      </w:r>
    </w:p>
    <w:p w14:paraId="27632B2C" w14:textId="77777777" w:rsidR="00B80F3C" w:rsidRPr="00137AB5" w:rsidRDefault="00B80F3C" w:rsidP="00E16B8D">
      <w:pPr>
        <w:autoSpaceDE w:val="0"/>
        <w:autoSpaceDN w:val="0"/>
        <w:adjustRightInd w:val="0"/>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Core-to-seismic correlation for the</w:t>
      </w:r>
      <w:r w:rsidR="00673127">
        <w:rPr>
          <w:rFonts w:ascii="Times New Roman" w:hAnsi="Times New Roman" w:cs="Times New Roman"/>
          <w:color w:val="000000"/>
          <w:sz w:val="24"/>
          <w:szCs w:val="24"/>
        </w:rPr>
        <w:t xml:space="preserve"> 10.6 m-long core </w:t>
      </w:r>
      <w:r>
        <w:rPr>
          <w:rFonts w:ascii="Times New Roman" w:hAnsi="Times New Roman" w:cs="Times New Roman"/>
          <w:color w:val="000000"/>
          <w:sz w:val="24"/>
          <w:szCs w:val="24"/>
        </w:rPr>
        <w:t xml:space="preserve">utilized both observations of lithologic contrasts and density data, where high amplitude reflections observed in the CHIRP </w:t>
      </w:r>
      <w:r w:rsidRPr="00001E55">
        <w:rPr>
          <w:rFonts w:ascii="Times New Roman" w:hAnsi="Times New Roman" w:cs="Times New Roman"/>
          <w:color w:val="000000"/>
          <w:sz w:val="24"/>
          <w:szCs w:val="24"/>
        </w:rPr>
        <w:t xml:space="preserve">seismic </w:t>
      </w:r>
      <w:r w:rsidR="008D546E" w:rsidRPr="00001E55">
        <w:rPr>
          <w:rFonts w:ascii="Times New Roman" w:hAnsi="Times New Roman" w:cs="Times New Roman"/>
          <w:color w:val="000000"/>
          <w:sz w:val="24"/>
          <w:szCs w:val="24"/>
        </w:rPr>
        <w:t xml:space="preserve">line </w:t>
      </w:r>
      <w:r w:rsidR="00001E55" w:rsidRPr="00001E55">
        <w:rPr>
          <w:rFonts w:ascii="Times New Roman" w:hAnsi="Times New Roman" w:cs="Times New Roman"/>
          <w:color w:val="000000"/>
          <w:sz w:val="24"/>
          <w:szCs w:val="24"/>
        </w:rPr>
        <w:t>Turk10</w:t>
      </w:r>
      <w:r w:rsidR="00001E55">
        <w:rPr>
          <w:rFonts w:ascii="Times New Roman" w:hAnsi="Times New Roman" w:cs="Times New Roman"/>
          <w:color w:val="000000"/>
          <w:sz w:val="24"/>
          <w:szCs w:val="24"/>
        </w:rPr>
        <w:t>-58</w:t>
      </w:r>
      <w:r w:rsidR="008D54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were matched with layers that recorded sharp changes in bulk density and lithology (e.g., boundaries between sand and mud layers). Based on these correlations, we then calculated the expected seismic velocities as an independent test of our interpretation, as acoustic velocities in fresh water and shallow, water-saturated sediments should range between 1450-1500 m/s. </w:t>
      </w:r>
      <w:r w:rsidR="008D546E">
        <w:rPr>
          <w:rFonts w:ascii="Times New Roman" w:hAnsi="Times New Roman" w:cs="Times New Roman"/>
          <w:color w:val="000000"/>
          <w:sz w:val="24"/>
          <w:szCs w:val="24"/>
        </w:rPr>
        <w:t>Accordingly, o</w:t>
      </w:r>
      <w:r>
        <w:rPr>
          <w:rFonts w:ascii="Times New Roman" w:hAnsi="Times New Roman" w:cs="Times New Roman"/>
          <w:color w:val="000000"/>
          <w:sz w:val="24"/>
          <w:szCs w:val="24"/>
        </w:rPr>
        <w:t xml:space="preserve">ur interpretation correlates to seismic velocities of 1490 m/s in </w:t>
      </w:r>
      <w:r>
        <w:rPr>
          <w:rFonts w:ascii="Times New Roman" w:hAnsi="Times New Roman" w:cs="Times New Roman"/>
          <w:color w:val="000000"/>
          <w:sz w:val="24"/>
          <w:szCs w:val="24"/>
        </w:rPr>
        <w:lastRenderedPageBreak/>
        <w:t>the upper 10 m of syn-rift sediments in Lake Turkana</w:t>
      </w:r>
      <w:r w:rsidR="008D546E">
        <w:rPr>
          <w:rFonts w:ascii="Times New Roman" w:hAnsi="Times New Roman" w:cs="Times New Roman"/>
          <w:color w:val="000000"/>
          <w:sz w:val="24"/>
          <w:szCs w:val="24"/>
        </w:rPr>
        <w:t xml:space="preserve">, lending confidence to our correlations. These seismic velocities were also adopted for our velocity-to-depth conversions for the presented fault throw data. This correlation would place Horizon 3 at a depth of 610.5 cm below </w:t>
      </w:r>
      <w:r w:rsidR="008D546E" w:rsidRPr="00137AB5">
        <w:rPr>
          <w:rFonts w:ascii="Times New Roman" w:hAnsi="Times New Roman" w:cs="Times New Roman"/>
          <w:color w:val="000000"/>
          <w:sz w:val="24"/>
          <w:szCs w:val="24"/>
        </w:rPr>
        <w:t>the lake surface</w:t>
      </w:r>
      <w:r w:rsidR="00001E55" w:rsidRPr="00137AB5">
        <w:rPr>
          <w:rFonts w:ascii="Times New Roman" w:hAnsi="Times New Roman" w:cs="Times New Roman"/>
          <w:color w:val="000000"/>
          <w:sz w:val="24"/>
          <w:szCs w:val="24"/>
        </w:rPr>
        <w:t xml:space="preserve"> (Fig. S</w:t>
      </w:r>
      <w:r w:rsidR="00137AB5" w:rsidRPr="00137AB5">
        <w:rPr>
          <w:rFonts w:ascii="Times New Roman" w:hAnsi="Times New Roman" w:cs="Times New Roman"/>
          <w:color w:val="000000"/>
          <w:sz w:val="24"/>
          <w:szCs w:val="24"/>
        </w:rPr>
        <w:t>4</w:t>
      </w:r>
      <w:r w:rsidR="00001E55" w:rsidRPr="00137AB5">
        <w:rPr>
          <w:rFonts w:ascii="Times New Roman" w:hAnsi="Times New Roman" w:cs="Times New Roman"/>
          <w:color w:val="000000"/>
          <w:sz w:val="24"/>
          <w:szCs w:val="24"/>
        </w:rPr>
        <w:t>)</w:t>
      </w:r>
      <w:r w:rsidR="008D546E" w:rsidRPr="00137AB5">
        <w:rPr>
          <w:rFonts w:ascii="Times New Roman" w:hAnsi="Times New Roman" w:cs="Times New Roman"/>
          <w:color w:val="000000"/>
          <w:sz w:val="24"/>
          <w:szCs w:val="24"/>
        </w:rPr>
        <w:t>.</w:t>
      </w:r>
    </w:p>
    <w:p w14:paraId="4E659F22" w14:textId="321A4138" w:rsidR="007D04BC" w:rsidRDefault="00E16B8D" w:rsidP="00C04EC3">
      <w:pPr>
        <w:autoSpaceDE w:val="0"/>
        <w:autoSpaceDN w:val="0"/>
        <w:adjustRightInd w:val="0"/>
        <w:spacing w:after="0" w:line="480" w:lineRule="auto"/>
        <w:ind w:firstLine="720"/>
      </w:pPr>
      <w:r w:rsidRPr="00137AB5">
        <w:rPr>
          <w:rFonts w:ascii="Times New Roman" w:hAnsi="Times New Roman" w:cs="Times New Roman"/>
          <w:color w:val="000000"/>
          <w:sz w:val="24"/>
          <w:szCs w:val="24"/>
        </w:rPr>
        <w:t>In order to constrain the age of Horizon 3, we applied an age model for core 46P</w:t>
      </w:r>
      <w:r w:rsidR="002C3800" w:rsidRPr="00137AB5">
        <w:rPr>
          <w:rFonts w:ascii="Times New Roman" w:hAnsi="Times New Roman" w:cs="Times New Roman"/>
          <w:color w:val="000000"/>
          <w:sz w:val="24"/>
          <w:szCs w:val="24"/>
        </w:rPr>
        <w:t xml:space="preserve"> </w:t>
      </w:r>
      <w:r w:rsidRPr="00137AB5">
        <w:rPr>
          <w:rFonts w:ascii="Times New Roman" w:hAnsi="Times New Roman" w:cs="Times New Roman"/>
          <w:color w:val="000000"/>
          <w:sz w:val="24"/>
          <w:szCs w:val="24"/>
        </w:rPr>
        <w:t xml:space="preserve">based </w:t>
      </w:r>
      <w:r w:rsidRPr="00137AB5">
        <w:rPr>
          <w:rFonts w:ascii="Times New Roman" w:hAnsi="Times New Roman" w:cs="Times New Roman"/>
          <w:sz w:val="24"/>
          <w:szCs w:val="24"/>
        </w:rPr>
        <w:t xml:space="preserve">on eleven </w:t>
      </w:r>
      <w:r w:rsidR="002C3800" w:rsidRPr="00137AB5">
        <w:rPr>
          <w:rFonts w:ascii="Times New Roman" w:hAnsi="Times New Roman" w:cs="Times New Roman"/>
          <w:sz w:val="24"/>
          <w:szCs w:val="24"/>
        </w:rPr>
        <w:t xml:space="preserve">AMS </w:t>
      </w:r>
      <w:r w:rsidR="002C3800" w:rsidRPr="00137AB5">
        <w:rPr>
          <w:rFonts w:ascii="Times New Roman" w:hAnsi="Times New Roman" w:cs="Times New Roman"/>
          <w:sz w:val="24"/>
          <w:szCs w:val="24"/>
          <w:vertAlign w:val="superscript"/>
        </w:rPr>
        <w:t>14</w:t>
      </w:r>
      <w:r w:rsidR="002C3800" w:rsidRPr="00137AB5">
        <w:rPr>
          <w:rFonts w:ascii="Times New Roman" w:hAnsi="Times New Roman" w:cs="Times New Roman"/>
          <w:sz w:val="24"/>
          <w:szCs w:val="24"/>
        </w:rPr>
        <w:t xml:space="preserve">C samples of bulk organic matter, bulk carbonate, </w:t>
      </w:r>
      <w:r w:rsidRPr="00137AB5">
        <w:rPr>
          <w:rFonts w:ascii="Times New Roman" w:hAnsi="Times New Roman" w:cs="Times New Roman"/>
          <w:sz w:val="24"/>
          <w:szCs w:val="24"/>
        </w:rPr>
        <w:t>plant material, and</w:t>
      </w:r>
      <w:r w:rsidR="002C3800" w:rsidRPr="00137AB5">
        <w:rPr>
          <w:rFonts w:ascii="Times New Roman" w:hAnsi="Times New Roman" w:cs="Times New Roman"/>
          <w:sz w:val="24"/>
          <w:szCs w:val="24"/>
        </w:rPr>
        <w:t xml:space="preserve"> shells</w:t>
      </w:r>
      <w:r w:rsidR="000E7182">
        <w:rPr>
          <w:rFonts w:ascii="Times New Roman" w:hAnsi="Times New Roman" w:cs="Times New Roman"/>
          <w:sz w:val="24"/>
          <w:szCs w:val="24"/>
        </w:rPr>
        <w:t xml:space="preserve"> (Table S</w:t>
      </w:r>
      <w:r w:rsidR="00137AB5" w:rsidRPr="00137AB5">
        <w:rPr>
          <w:rFonts w:ascii="Times New Roman" w:hAnsi="Times New Roman" w:cs="Times New Roman"/>
          <w:sz w:val="24"/>
          <w:szCs w:val="24"/>
        </w:rPr>
        <w:t>1</w:t>
      </w:r>
      <w:r w:rsidR="00001E55" w:rsidRPr="00137AB5">
        <w:rPr>
          <w:rFonts w:ascii="Times New Roman" w:hAnsi="Times New Roman" w:cs="Times New Roman"/>
          <w:sz w:val="24"/>
          <w:szCs w:val="24"/>
        </w:rPr>
        <w:t>)</w:t>
      </w:r>
      <w:r w:rsidRPr="00137AB5">
        <w:rPr>
          <w:rFonts w:ascii="Times New Roman" w:hAnsi="Times New Roman" w:cs="Times New Roman"/>
          <w:sz w:val="24"/>
          <w:szCs w:val="24"/>
        </w:rPr>
        <w:t>. These samples</w:t>
      </w:r>
      <w:r w:rsidRPr="00681487">
        <w:rPr>
          <w:rFonts w:ascii="Times New Roman" w:hAnsi="Times New Roman" w:cs="Times New Roman"/>
          <w:sz w:val="24"/>
          <w:szCs w:val="24"/>
        </w:rPr>
        <w:t xml:space="preserve"> were collected by Morrissey and Scholz</w:t>
      </w:r>
      <w:r w:rsidR="002C3800" w:rsidRPr="00681487">
        <w:rPr>
          <w:rFonts w:ascii="Times New Roman" w:hAnsi="Times New Roman" w:cs="Times New Roman"/>
          <w:sz w:val="24"/>
          <w:szCs w:val="24"/>
        </w:rPr>
        <w:t xml:space="preserve"> </w:t>
      </w:r>
      <w:r w:rsidRPr="00681487">
        <w:rPr>
          <w:rFonts w:ascii="Times New Roman" w:hAnsi="Times New Roman" w:cs="Times New Roman"/>
          <w:sz w:val="24"/>
          <w:szCs w:val="24"/>
        </w:rPr>
        <w:t>(2014) at depths</w:t>
      </w:r>
      <w:r w:rsidR="00681487">
        <w:rPr>
          <w:rFonts w:ascii="Times New Roman" w:hAnsi="Times New Roman" w:cs="Times New Roman"/>
          <w:sz w:val="24"/>
          <w:szCs w:val="24"/>
        </w:rPr>
        <w:t xml:space="preserve"> of 6.5 - 849.0 cm</w:t>
      </w:r>
      <w:r w:rsidRPr="00681487">
        <w:rPr>
          <w:rFonts w:ascii="Times New Roman" w:hAnsi="Times New Roman" w:cs="Times New Roman"/>
          <w:sz w:val="24"/>
          <w:szCs w:val="24"/>
        </w:rPr>
        <w:t xml:space="preserve"> </w:t>
      </w:r>
      <w:r w:rsidR="002C3800" w:rsidRPr="00681487">
        <w:rPr>
          <w:rFonts w:ascii="Times New Roman" w:hAnsi="Times New Roman" w:cs="Times New Roman"/>
          <w:sz w:val="24"/>
          <w:szCs w:val="24"/>
        </w:rPr>
        <w:t xml:space="preserve">(Fig. </w:t>
      </w:r>
      <w:r w:rsidR="000E7182">
        <w:rPr>
          <w:rFonts w:ascii="Times New Roman" w:hAnsi="Times New Roman" w:cs="Times New Roman"/>
          <w:sz w:val="24"/>
          <w:szCs w:val="24"/>
        </w:rPr>
        <w:t>S4</w:t>
      </w:r>
      <w:r w:rsidR="00681487">
        <w:rPr>
          <w:rFonts w:ascii="Times New Roman" w:hAnsi="Times New Roman" w:cs="Times New Roman"/>
          <w:sz w:val="24"/>
          <w:szCs w:val="24"/>
        </w:rPr>
        <w:t xml:space="preserve"> </w:t>
      </w:r>
      <w:r w:rsidR="002C3800" w:rsidRPr="00681487">
        <w:rPr>
          <w:rFonts w:ascii="Times New Roman" w:hAnsi="Times New Roman" w:cs="Times New Roman"/>
          <w:sz w:val="24"/>
          <w:szCs w:val="24"/>
        </w:rPr>
        <w:t>and Table</w:t>
      </w:r>
      <w:r w:rsidRPr="00681487">
        <w:rPr>
          <w:rFonts w:ascii="Times New Roman" w:hAnsi="Times New Roman" w:cs="Times New Roman"/>
          <w:sz w:val="24"/>
          <w:szCs w:val="24"/>
        </w:rPr>
        <w:t xml:space="preserve"> </w:t>
      </w:r>
      <w:r w:rsidR="000E7182">
        <w:rPr>
          <w:rFonts w:ascii="Times New Roman" w:hAnsi="Times New Roman" w:cs="Times New Roman"/>
          <w:sz w:val="24"/>
          <w:szCs w:val="24"/>
        </w:rPr>
        <w:t>S1</w:t>
      </w:r>
      <w:r w:rsidR="002C3800" w:rsidRPr="00681487">
        <w:rPr>
          <w:rFonts w:ascii="Times New Roman" w:hAnsi="Times New Roman" w:cs="Times New Roman"/>
          <w:sz w:val="24"/>
          <w:szCs w:val="24"/>
        </w:rPr>
        <w:t>). The f</w:t>
      </w:r>
      <w:r w:rsidR="00681487">
        <w:rPr>
          <w:rFonts w:ascii="Times New Roman" w:hAnsi="Times New Roman" w:cs="Times New Roman"/>
          <w:sz w:val="24"/>
          <w:szCs w:val="24"/>
        </w:rPr>
        <w:t>l</w:t>
      </w:r>
      <w:r w:rsidR="002C3800" w:rsidRPr="00681487">
        <w:rPr>
          <w:rFonts w:ascii="Times New Roman" w:hAnsi="Times New Roman" w:cs="Times New Roman"/>
          <w:sz w:val="24"/>
          <w:szCs w:val="24"/>
        </w:rPr>
        <w:t>exible Bay</w:t>
      </w:r>
      <w:r w:rsidR="00C5151B">
        <w:rPr>
          <w:rFonts w:ascii="Times New Roman" w:hAnsi="Times New Roman" w:cs="Times New Roman"/>
          <w:sz w:val="24"/>
          <w:szCs w:val="24"/>
        </w:rPr>
        <w:t>esian age depth program, “Bacon</w:t>
      </w:r>
      <w:r w:rsidR="002C3800" w:rsidRPr="00681487">
        <w:rPr>
          <w:rFonts w:ascii="Times New Roman" w:hAnsi="Times New Roman" w:cs="Times New Roman"/>
          <w:sz w:val="24"/>
          <w:szCs w:val="24"/>
        </w:rPr>
        <w:t>”</w:t>
      </w:r>
      <w:r w:rsidR="001214F5">
        <w:rPr>
          <w:rFonts w:ascii="Times New Roman" w:hAnsi="Times New Roman" w:cs="Times New Roman"/>
          <w:sz w:val="24"/>
          <w:szCs w:val="24"/>
        </w:rPr>
        <w:t xml:space="preserve"> </w:t>
      </w:r>
      <w:r w:rsidR="001214F5">
        <w:rPr>
          <w:rFonts w:ascii="Times New Roman" w:hAnsi="Times New Roman" w:cs="Times New Roman"/>
          <w:sz w:val="24"/>
          <w:szCs w:val="24"/>
        </w:rPr>
        <w:fldChar w:fldCharType="begin" w:fldLock="1"/>
      </w:r>
      <w:r w:rsidR="001214F5">
        <w:rPr>
          <w:rFonts w:ascii="Times New Roman" w:hAnsi="Times New Roman" w:cs="Times New Roman"/>
          <w:sz w:val="24"/>
          <w:szCs w:val="24"/>
        </w:rPr>
        <w:instrText>ADDIN CSL_CITATION {"citationItems":[{"id":"ITEM-1","itemData":{"author":[{"dropping-particle":"","family":"Blaauw","given":"M.","non-dropping-particle":"","parse-names":false,"suffix":""},{"dropping-particle":"","family":"Christen","given":"J.A.","non-dropping-particle":"","parse-names":false,"suffix":""}],"container-title":"Bayesian Analysis","id":"ITEM-1","issued":{"date-parts":[["2011"]]},"page":"457–474","title":"Flexible paleoclimate age-depth models using an autoregressive gamma process","type":"article-journal","volume":"6"},"uris":["http://www.mendeley.com/documents/?uuid=d09b8aa0-7b84-4d09-ac35-8bf47f736aa0"]}],"mendeley":{"formattedCitation":"(Blaauw &amp; Christen, 2011)","plainTextFormattedCitation":"(Blaauw &amp; Christen, 2011)","previouslyFormattedCitation":"(Blaauw &amp; Christen, 2011)"},"properties":{"noteIndex":0},"schema":"https://github.com/citation-style-language/schema/raw/master/csl-citation.json"}</w:instrText>
      </w:r>
      <w:r w:rsidR="001214F5">
        <w:rPr>
          <w:rFonts w:ascii="Times New Roman" w:hAnsi="Times New Roman" w:cs="Times New Roman"/>
          <w:sz w:val="24"/>
          <w:szCs w:val="24"/>
        </w:rPr>
        <w:fldChar w:fldCharType="separate"/>
      </w:r>
      <w:r w:rsidR="001214F5" w:rsidRPr="001214F5">
        <w:rPr>
          <w:rFonts w:ascii="Times New Roman" w:hAnsi="Times New Roman" w:cs="Times New Roman"/>
          <w:noProof/>
          <w:sz w:val="24"/>
          <w:szCs w:val="24"/>
        </w:rPr>
        <w:t>(Blaauw &amp; Christen, 2011)</w:t>
      </w:r>
      <w:r w:rsidR="001214F5">
        <w:rPr>
          <w:rFonts w:ascii="Times New Roman" w:hAnsi="Times New Roman" w:cs="Times New Roman"/>
          <w:sz w:val="24"/>
          <w:szCs w:val="24"/>
        </w:rPr>
        <w:fldChar w:fldCharType="end"/>
      </w:r>
      <w:r w:rsidR="001214F5">
        <w:rPr>
          <w:rFonts w:ascii="Times New Roman" w:hAnsi="Times New Roman" w:cs="Times New Roman"/>
          <w:sz w:val="24"/>
          <w:szCs w:val="24"/>
        </w:rPr>
        <w:t>,</w:t>
      </w:r>
      <w:r w:rsidR="002C3800" w:rsidRPr="00681487">
        <w:rPr>
          <w:rFonts w:ascii="Times New Roman" w:hAnsi="Times New Roman" w:cs="Times New Roman"/>
          <w:sz w:val="24"/>
          <w:szCs w:val="24"/>
        </w:rPr>
        <w:t xml:space="preserve"> was used to </w:t>
      </w:r>
      <w:r w:rsidR="002C3800" w:rsidRPr="00E16B8D">
        <w:rPr>
          <w:rFonts w:ascii="Times New Roman" w:hAnsi="Times New Roman" w:cs="Times New Roman"/>
          <w:color w:val="000000"/>
          <w:sz w:val="24"/>
          <w:szCs w:val="24"/>
        </w:rPr>
        <w:t xml:space="preserve">construct the age models of all three cores. </w:t>
      </w:r>
      <w:r w:rsidR="00681487">
        <w:rPr>
          <w:rFonts w:ascii="Times New Roman" w:hAnsi="Times New Roman" w:cs="Times New Roman"/>
          <w:color w:val="000000"/>
          <w:sz w:val="24"/>
          <w:szCs w:val="24"/>
        </w:rPr>
        <w:t>Radiocarbon</w:t>
      </w:r>
      <w:r w:rsidR="002C3800" w:rsidRPr="00E16B8D">
        <w:rPr>
          <w:rFonts w:ascii="Times New Roman" w:hAnsi="Times New Roman" w:cs="Times New Roman"/>
          <w:color w:val="000000"/>
          <w:sz w:val="24"/>
          <w:szCs w:val="24"/>
        </w:rPr>
        <w:t xml:space="preserve"> ages </w:t>
      </w:r>
      <w:r w:rsidR="00681487">
        <w:rPr>
          <w:rFonts w:ascii="Times New Roman" w:hAnsi="Times New Roman" w:cs="Times New Roman"/>
          <w:color w:val="000000"/>
          <w:sz w:val="24"/>
          <w:szCs w:val="24"/>
        </w:rPr>
        <w:t xml:space="preserve">for these model runs </w:t>
      </w:r>
      <w:r w:rsidR="002C3800" w:rsidRPr="00E16B8D">
        <w:rPr>
          <w:rFonts w:ascii="Times New Roman" w:hAnsi="Times New Roman" w:cs="Times New Roman"/>
          <w:color w:val="000000"/>
          <w:sz w:val="24"/>
          <w:szCs w:val="24"/>
        </w:rPr>
        <w:t>were calibrated using the IntCal13 calibration curve.</w:t>
      </w:r>
      <w:r w:rsidR="00AA4F67">
        <w:rPr>
          <w:rFonts w:ascii="Times New Roman" w:hAnsi="Times New Roman" w:cs="Times New Roman"/>
          <w:color w:val="000000"/>
          <w:sz w:val="24"/>
          <w:szCs w:val="24"/>
        </w:rPr>
        <w:t xml:space="preserve"> In all, our core-to-seismic correlation and age model data </w:t>
      </w:r>
      <w:r w:rsidR="00AA4F67" w:rsidRPr="00AA4F67">
        <w:rPr>
          <w:rFonts w:ascii="Times New Roman" w:hAnsi="Times New Roman" w:cs="Times New Roman"/>
          <w:color w:val="000000"/>
          <w:sz w:val="24"/>
          <w:szCs w:val="24"/>
        </w:rPr>
        <w:t xml:space="preserve">support </w:t>
      </w:r>
      <w:r w:rsidR="00AA4F67" w:rsidRPr="00AA4F67">
        <w:rPr>
          <w:rFonts w:ascii="Times New Roman" w:hAnsi="Times New Roman" w:cs="Times New Roman"/>
          <w:sz w:val="24"/>
          <w:szCs w:val="24"/>
        </w:rPr>
        <w:t xml:space="preserve">of </w:t>
      </w:r>
      <w:r w:rsidR="00AA4F67">
        <w:rPr>
          <w:rFonts w:ascii="Times New Roman" w:hAnsi="Times New Roman" w:cs="Times New Roman"/>
          <w:sz w:val="24"/>
          <w:szCs w:val="24"/>
        </w:rPr>
        <w:t>a</w:t>
      </w:r>
      <w:r w:rsidR="00EC0156">
        <w:rPr>
          <w:rFonts w:ascii="Times New Roman" w:hAnsi="Times New Roman" w:cs="Times New Roman"/>
          <w:sz w:val="24"/>
          <w:szCs w:val="24"/>
        </w:rPr>
        <w:t xml:space="preserve"> radiocarbon</w:t>
      </w:r>
      <w:r w:rsidR="00AA4F67">
        <w:rPr>
          <w:rFonts w:ascii="Times New Roman" w:hAnsi="Times New Roman" w:cs="Times New Roman"/>
          <w:sz w:val="24"/>
          <w:szCs w:val="24"/>
        </w:rPr>
        <w:t xml:space="preserve"> age of </w:t>
      </w:r>
      <w:r w:rsidR="00AA4F67" w:rsidRPr="00AA4F67">
        <w:rPr>
          <w:rFonts w:ascii="Times New Roman" w:hAnsi="Times New Roman" w:cs="Times New Roman"/>
          <w:sz w:val="24"/>
          <w:szCs w:val="24"/>
        </w:rPr>
        <w:t>9,</w:t>
      </w:r>
      <w:r w:rsidR="00EC0156">
        <w:rPr>
          <w:rFonts w:ascii="Times New Roman" w:hAnsi="Times New Roman" w:cs="Times New Roman"/>
          <w:sz w:val="24"/>
          <w:szCs w:val="24"/>
        </w:rPr>
        <w:t>57</w:t>
      </w:r>
      <w:r w:rsidR="001D345D">
        <w:rPr>
          <w:rFonts w:ascii="Times New Roman" w:hAnsi="Times New Roman" w:cs="Times New Roman"/>
          <w:sz w:val="24"/>
          <w:szCs w:val="24"/>
        </w:rPr>
        <w:t>1</w:t>
      </w:r>
      <w:r w:rsidR="00AA4F67" w:rsidRPr="00AA4F67">
        <w:rPr>
          <w:rFonts w:ascii="Times New Roman" w:hAnsi="Times New Roman" w:cs="Times New Roman"/>
          <w:sz w:val="24"/>
          <w:szCs w:val="24"/>
        </w:rPr>
        <w:t xml:space="preserve"> + 4</w:t>
      </w:r>
      <w:r w:rsidR="00823297">
        <w:rPr>
          <w:rFonts w:ascii="Times New Roman" w:hAnsi="Times New Roman" w:cs="Times New Roman"/>
          <w:sz w:val="24"/>
          <w:szCs w:val="24"/>
        </w:rPr>
        <w:t>42</w:t>
      </w:r>
      <w:r w:rsidR="00AA4F67" w:rsidRPr="00AA4F67">
        <w:rPr>
          <w:rFonts w:ascii="Times New Roman" w:hAnsi="Times New Roman" w:cs="Times New Roman"/>
          <w:sz w:val="24"/>
          <w:szCs w:val="24"/>
        </w:rPr>
        <w:t xml:space="preserve"> - 4</w:t>
      </w:r>
      <w:r w:rsidR="00823297">
        <w:rPr>
          <w:rFonts w:ascii="Times New Roman" w:hAnsi="Times New Roman" w:cs="Times New Roman"/>
          <w:sz w:val="24"/>
          <w:szCs w:val="24"/>
        </w:rPr>
        <w:t>01</w:t>
      </w:r>
      <w:r w:rsidR="00AA4F67" w:rsidRPr="00AA4F67">
        <w:rPr>
          <w:rFonts w:ascii="Times New Roman" w:hAnsi="Times New Roman" w:cs="Times New Roman"/>
          <w:sz w:val="24"/>
          <w:szCs w:val="24"/>
        </w:rPr>
        <w:t xml:space="preserve"> </w:t>
      </w:r>
      <w:proofErr w:type="spellStart"/>
      <w:r w:rsidR="00AA4F67" w:rsidRPr="00AA4F67">
        <w:rPr>
          <w:rFonts w:ascii="Times New Roman" w:hAnsi="Times New Roman" w:cs="Times New Roman"/>
          <w:sz w:val="24"/>
          <w:szCs w:val="24"/>
        </w:rPr>
        <w:t>yr</w:t>
      </w:r>
      <w:proofErr w:type="spellEnd"/>
      <w:r w:rsidR="00AA4F67" w:rsidRPr="00AA4F67">
        <w:rPr>
          <w:rFonts w:ascii="Times New Roman" w:hAnsi="Times New Roman" w:cs="Times New Roman"/>
          <w:sz w:val="24"/>
          <w:szCs w:val="24"/>
        </w:rPr>
        <w:t xml:space="preserve"> BP for Horizon 3</w:t>
      </w:r>
      <w:r w:rsidR="000E7182">
        <w:rPr>
          <w:rFonts w:ascii="Times New Roman" w:hAnsi="Times New Roman" w:cs="Times New Roman"/>
          <w:sz w:val="24"/>
          <w:szCs w:val="24"/>
        </w:rPr>
        <w:t xml:space="preserve"> (Fig. S4)</w:t>
      </w:r>
      <w:r w:rsidR="00AA4F67">
        <w:rPr>
          <w:rFonts w:ascii="Times New Roman" w:hAnsi="Times New Roman" w:cs="Times New Roman"/>
          <w:sz w:val="24"/>
          <w:szCs w:val="24"/>
        </w:rPr>
        <w:t>.</w:t>
      </w:r>
      <w:r w:rsidR="00EC0156">
        <w:rPr>
          <w:rFonts w:ascii="Times New Roman" w:hAnsi="Times New Roman" w:cs="Times New Roman"/>
          <w:sz w:val="24"/>
          <w:szCs w:val="24"/>
        </w:rPr>
        <w:t xml:space="preserve"> </w:t>
      </w:r>
      <w:r w:rsidR="00EC0156">
        <w:rPr>
          <w:rFonts w:ascii="Times New Roman" w:hAnsi="Times New Roman" w:cs="Times New Roman"/>
          <w:color w:val="000000"/>
          <w:sz w:val="24"/>
          <w:szCs w:val="24"/>
        </w:rPr>
        <w:t xml:space="preserve">However, </w:t>
      </w:r>
      <w:r w:rsidR="00310A4A">
        <w:rPr>
          <w:rFonts w:ascii="Times New Roman" w:hAnsi="Times New Roman" w:cs="Times New Roman"/>
          <w:color w:val="000000"/>
          <w:sz w:val="24"/>
          <w:szCs w:val="24"/>
        </w:rPr>
        <w:t xml:space="preserve">the </w:t>
      </w:r>
      <w:r w:rsidR="00EC0156">
        <w:rPr>
          <w:rFonts w:ascii="Times New Roman" w:hAnsi="Times New Roman" w:cs="Times New Roman"/>
          <w:color w:val="000000"/>
          <w:sz w:val="24"/>
          <w:szCs w:val="24"/>
        </w:rPr>
        <w:t>radiocarbon age</w:t>
      </w:r>
      <w:r w:rsidR="00310A4A">
        <w:rPr>
          <w:rFonts w:ascii="Times New Roman" w:hAnsi="Times New Roman" w:cs="Times New Roman"/>
          <w:color w:val="000000"/>
          <w:sz w:val="24"/>
          <w:szCs w:val="24"/>
        </w:rPr>
        <w:t xml:space="preserve"> scale uses a commence date</w:t>
      </w:r>
      <w:r w:rsidR="00EC0156">
        <w:rPr>
          <w:rFonts w:ascii="Times New Roman" w:hAnsi="Times New Roman" w:cs="Times New Roman"/>
          <w:color w:val="000000"/>
          <w:sz w:val="24"/>
          <w:szCs w:val="24"/>
        </w:rPr>
        <w:t xml:space="preserve"> of 1950 CE, whereas the reflection seismic data were collected in 2010 CE</w:t>
      </w:r>
      <w:r w:rsidR="00310A4A">
        <w:rPr>
          <w:rFonts w:ascii="Times New Roman" w:hAnsi="Times New Roman" w:cs="Times New Roman"/>
          <w:color w:val="000000"/>
          <w:sz w:val="24"/>
          <w:szCs w:val="24"/>
        </w:rPr>
        <w:t>; therefore,</w:t>
      </w:r>
      <w:r w:rsidR="00EC0156">
        <w:rPr>
          <w:rFonts w:ascii="Times New Roman" w:hAnsi="Times New Roman" w:cs="Times New Roman"/>
          <w:color w:val="000000"/>
          <w:sz w:val="24"/>
          <w:szCs w:val="24"/>
        </w:rPr>
        <w:t xml:space="preserve"> 60 years were added to these radiocarbon ages to account for the time interval between deposition of the seismic horizon and the seismic data collection.</w:t>
      </w:r>
      <w:r w:rsidR="007D04BC">
        <w:br w:type="page"/>
      </w:r>
    </w:p>
    <w:p w14:paraId="29AB7DB9" w14:textId="77777777" w:rsidR="00310A4A" w:rsidRPr="00C04EC3" w:rsidRDefault="00310A4A" w:rsidP="00C04EC3">
      <w:pPr>
        <w:autoSpaceDE w:val="0"/>
        <w:autoSpaceDN w:val="0"/>
        <w:adjustRightInd w:val="0"/>
        <w:spacing w:after="0" w:line="480" w:lineRule="auto"/>
        <w:ind w:firstLine="720"/>
        <w:rPr>
          <w:rFonts w:ascii="Times New Roman" w:hAnsi="Times New Roman" w:cs="Times New Roman"/>
          <w:sz w:val="24"/>
          <w:szCs w:val="24"/>
        </w:rPr>
      </w:pPr>
    </w:p>
    <w:p w14:paraId="2B96AA54" w14:textId="77777777" w:rsidR="007D04BC" w:rsidRDefault="007D04BC">
      <w:pPr>
        <w:rPr>
          <w:rFonts w:ascii="Times New Roman" w:hAnsi="Times New Roman" w:cs="Times New Roman"/>
          <w:b/>
          <w:sz w:val="24"/>
          <w:szCs w:val="24"/>
        </w:rPr>
      </w:pPr>
      <w:r w:rsidRPr="007D04BC">
        <w:rPr>
          <w:rFonts w:ascii="Times New Roman" w:hAnsi="Times New Roman" w:cs="Times New Roman"/>
          <w:b/>
          <w:sz w:val="24"/>
          <w:szCs w:val="24"/>
        </w:rPr>
        <w:t>References</w:t>
      </w:r>
    </w:p>
    <w:p w14:paraId="4E111D39" w14:textId="77777777" w:rsidR="003E0CE3" w:rsidRPr="003E0CE3" w:rsidRDefault="00381702"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3E0CE3" w:rsidRPr="003E0CE3">
        <w:rPr>
          <w:rFonts w:ascii="Times New Roman" w:hAnsi="Times New Roman" w:cs="Times New Roman"/>
          <w:noProof/>
          <w:sz w:val="24"/>
          <w:szCs w:val="24"/>
        </w:rPr>
        <w:t xml:space="preserve">Blaauw, M., &amp; Christen, J. A. (2011). Flexible paleoclimate age-depth models using an autoregressive gamma process. </w:t>
      </w:r>
      <w:r w:rsidR="003E0CE3" w:rsidRPr="003E0CE3">
        <w:rPr>
          <w:rFonts w:ascii="Times New Roman" w:hAnsi="Times New Roman" w:cs="Times New Roman"/>
          <w:i/>
          <w:iCs/>
          <w:noProof/>
          <w:sz w:val="24"/>
          <w:szCs w:val="24"/>
        </w:rPr>
        <w:t>Bayesian Analysis</w:t>
      </w:r>
      <w:r w:rsidR="003E0CE3" w:rsidRPr="003E0CE3">
        <w:rPr>
          <w:rFonts w:ascii="Times New Roman" w:hAnsi="Times New Roman" w:cs="Times New Roman"/>
          <w:noProof/>
          <w:sz w:val="24"/>
          <w:szCs w:val="24"/>
        </w:rPr>
        <w:t xml:space="preserve">, </w:t>
      </w:r>
      <w:r w:rsidR="003E0CE3" w:rsidRPr="003E0CE3">
        <w:rPr>
          <w:rFonts w:ascii="Times New Roman" w:hAnsi="Times New Roman" w:cs="Times New Roman"/>
          <w:i/>
          <w:iCs/>
          <w:noProof/>
          <w:sz w:val="24"/>
          <w:szCs w:val="24"/>
        </w:rPr>
        <w:t>6</w:t>
      </w:r>
      <w:r w:rsidR="003E0CE3" w:rsidRPr="003E0CE3">
        <w:rPr>
          <w:rFonts w:ascii="Times New Roman" w:hAnsi="Times New Roman" w:cs="Times New Roman"/>
          <w:noProof/>
          <w:sz w:val="24"/>
          <w:szCs w:val="24"/>
        </w:rPr>
        <w:t>, 457–474.</w:t>
      </w:r>
    </w:p>
    <w:p w14:paraId="7B53D56F"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Bull, J. M., Minshull, T. A., Mitchell, N. C., Thors, K., Dix, J. K., &amp; Best, A. I. (2003). Fault and magmatic interaction within Iceland’s western rift over the last 9 kyr. </w:t>
      </w:r>
      <w:r w:rsidRPr="003E0CE3">
        <w:rPr>
          <w:rFonts w:ascii="Times New Roman" w:hAnsi="Times New Roman" w:cs="Times New Roman"/>
          <w:i/>
          <w:iCs/>
          <w:noProof/>
          <w:sz w:val="24"/>
          <w:szCs w:val="24"/>
        </w:rPr>
        <w:t>Geophysical Journal International</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154</w:t>
      </w:r>
      <w:r w:rsidRPr="003E0CE3">
        <w:rPr>
          <w:rFonts w:ascii="Times New Roman" w:hAnsi="Times New Roman" w:cs="Times New Roman"/>
          <w:noProof/>
          <w:sz w:val="24"/>
          <w:szCs w:val="24"/>
        </w:rPr>
        <w:t>(1), F1–F7. https://doi.org/10.1046/j.1365-246X.2003.01990.x</w:t>
      </w:r>
    </w:p>
    <w:p w14:paraId="5A2FEFE5"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Bull, J. M., Minshull, T. A., Mitchell, N. C., Dix, J. K., &amp; Hardardottir, J. (2005). Magmatic and tectonic history of Iceland’s western rift zone at Lake Thingvallavatn. </w:t>
      </w:r>
      <w:r w:rsidRPr="003E0CE3">
        <w:rPr>
          <w:rFonts w:ascii="Times New Roman" w:hAnsi="Times New Roman" w:cs="Times New Roman"/>
          <w:i/>
          <w:iCs/>
          <w:noProof/>
          <w:sz w:val="24"/>
          <w:szCs w:val="24"/>
        </w:rPr>
        <w:t>Geological Society of America Bulletin</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117</w:t>
      </w:r>
      <w:r w:rsidRPr="003E0CE3">
        <w:rPr>
          <w:rFonts w:ascii="Times New Roman" w:hAnsi="Times New Roman" w:cs="Times New Roman"/>
          <w:noProof/>
          <w:sz w:val="24"/>
          <w:szCs w:val="24"/>
        </w:rPr>
        <w:t>(11–12), 1451–1465. https://doi.org/10.1130/b25729.1</w:t>
      </w:r>
    </w:p>
    <w:p w14:paraId="7C1305AB"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Dunkley, P., Smith, M., Allen, D. J., &amp; Darling, W. G. (1993). </w:t>
      </w:r>
      <w:r w:rsidRPr="003E0CE3">
        <w:rPr>
          <w:rFonts w:ascii="Times New Roman" w:hAnsi="Times New Roman" w:cs="Times New Roman"/>
          <w:i/>
          <w:iCs/>
          <w:noProof/>
          <w:sz w:val="24"/>
          <w:szCs w:val="24"/>
        </w:rPr>
        <w:t>The geothermal activity and geology of the northern sector of the Kenya Rift Valley</w:t>
      </w:r>
      <w:r w:rsidRPr="003E0CE3">
        <w:rPr>
          <w:rFonts w:ascii="Times New Roman" w:hAnsi="Times New Roman" w:cs="Times New Roman"/>
          <w:noProof/>
          <w:sz w:val="24"/>
          <w:szCs w:val="24"/>
        </w:rPr>
        <w:t>. British Geological Survey Scientific Report SC/93/1.</w:t>
      </w:r>
    </w:p>
    <w:p w14:paraId="2A026671"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Grant, J. V, &amp; Kattenhorn, S. A. (2004). Evolution of vertical faults at an extensional plate boundary, southwest Iceland. </w:t>
      </w:r>
      <w:r w:rsidRPr="003E0CE3">
        <w:rPr>
          <w:rFonts w:ascii="Times New Roman" w:hAnsi="Times New Roman" w:cs="Times New Roman"/>
          <w:i/>
          <w:iCs/>
          <w:noProof/>
          <w:sz w:val="24"/>
          <w:szCs w:val="24"/>
        </w:rPr>
        <w:t>Journal of Structural Geology</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26</w:t>
      </w:r>
      <w:r w:rsidRPr="003E0CE3">
        <w:rPr>
          <w:rFonts w:ascii="Times New Roman" w:hAnsi="Times New Roman" w:cs="Times New Roman"/>
          <w:noProof/>
          <w:sz w:val="24"/>
          <w:szCs w:val="24"/>
        </w:rPr>
        <w:t>(3), 537–557. https://doi.org/10.1016/j.jsg.2003.07.003</w:t>
      </w:r>
    </w:p>
    <w:p w14:paraId="3920C655"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Homberg, C., Schnyder, J., Roche, V., Leonard, V., &amp; Benzaggagh, M. (2017). The brittle and ductile components of displacement along fault zones. </w:t>
      </w:r>
      <w:r w:rsidRPr="003E0CE3">
        <w:rPr>
          <w:rFonts w:ascii="Times New Roman" w:hAnsi="Times New Roman" w:cs="Times New Roman"/>
          <w:i/>
          <w:iCs/>
          <w:noProof/>
          <w:sz w:val="24"/>
          <w:szCs w:val="24"/>
        </w:rPr>
        <w:t>Geological Society, London, Special Publications</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439</w:t>
      </w:r>
      <w:r w:rsidRPr="003E0CE3">
        <w:rPr>
          <w:rFonts w:ascii="Times New Roman" w:hAnsi="Times New Roman" w:cs="Times New Roman"/>
          <w:noProof/>
          <w:sz w:val="24"/>
          <w:szCs w:val="24"/>
        </w:rPr>
        <w:t>, 395–412.</w:t>
      </w:r>
    </w:p>
    <w:p w14:paraId="0496300F"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Lăpădat, A., Imber, J., Yielding, G., Iacopini, D., McCaffrey, K. J. W., Long, J. J., &amp; Jones, R. R. (2017). Occurrence and development of folding related to normal faulting within a mechanically heterogeneous sedimentary sequence: a case study from Inner Moray Firth, UK. </w:t>
      </w:r>
      <w:r w:rsidRPr="003E0CE3">
        <w:rPr>
          <w:rFonts w:ascii="Times New Roman" w:hAnsi="Times New Roman" w:cs="Times New Roman"/>
          <w:i/>
          <w:iCs/>
          <w:noProof/>
          <w:sz w:val="24"/>
          <w:szCs w:val="24"/>
        </w:rPr>
        <w:t>Geological Society, London, Special Publications</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439</w:t>
      </w:r>
      <w:r w:rsidRPr="003E0CE3">
        <w:rPr>
          <w:rFonts w:ascii="Times New Roman" w:hAnsi="Times New Roman" w:cs="Times New Roman"/>
          <w:noProof/>
          <w:sz w:val="24"/>
          <w:szCs w:val="24"/>
        </w:rPr>
        <w:t>, 373–394.</w:t>
      </w:r>
    </w:p>
    <w:p w14:paraId="10BE513F"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Martel, S. J., &amp; Langley, J. S. (2006). Propagation of normal faults to the surface in basalt, Koae fault system, Hawaii. </w:t>
      </w:r>
      <w:r w:rsidRPr="003E0CE3">
        <w:rPr>
          <w:rFonts w:ascii="Times New Roman" w:hAnsi="Times New Roman" w:cs="Times New Roman"/>
          <w:i/>
          <w:iCs/>
          <w:noProof/>
          <w:sz w:val="24"/>
          <w:szCs w:val="24"/>
        </w:rPr>
        <w:t>Journal of Structural Geology</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28</w:t>
      </w:r>
      <w:r w:rsidRPr="003E0CE3">
        <w:rPr>
          <w:rFonts w:ascii="Times New Roman" w:hAnsi="Times New Roman" w:cs="Times New Roman"/>
          <w:noProof/>
          <w:sz w:val="24"/>
          <w:szCs w:val="24"/>
        </w:rPr>
        <w:t>(12), 2123–2143. https://doi.org/10.1016/j.jsg.2005.12.004</w:t>
      </w:r>
    </w:p>
    <w:p w14:paraId="514293C2"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Morrissey, A., &amp; Scholz, C. A. (2014). Paleohydrology of Lake Turkana and its influence on the Nile River system. </w:t>
      </w:r>
      <w:r w:rsidRPr="003E0CE3">
        <w:rPr>
          <w:rFonts w:ascii="Times New Roman" w:hAnsi="Times New Roman" w:cs="Times New Roman"/>
          <w:i/>
          <w:iCs/>
          <w:noProof/>
          <w:sz w:val="24"/>
          <w:szCs w:val="24"/>
        </w:rPr>
        <w:t>Palaeogeography Palaeoclimatology Palaeoecology</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403</w:t>
      </w:r>
      <w:r w:rsidRPr="003E0CE3">
        <w:rPr>
          <w:rFonts w:ascii="Times New Roman" w:hAnsi="Times New Roman" w:cs="Times New Roman"/>
          <w:noProof/>
          <w:sz w:val="24"/>
          <w:szCs w:val="24"/>
        </w:rPr>
        <w:t>, 88–100. https://doi.org/10.1016/j.palaeo.2014.03.029</w:t>
      </w:r>
    </w:p>
    <w:p w14:paraId="022B6275"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Muirhead, J D, Kattenhorn, S. A., &amp; Le Corvec, N. (2015). Varying styles of magmatic strain accommodation in the East African Rift. </w:t>
      </w:r>
      <w:r w:rsidRPr="003E0CE3">
        <w:rPr>
          <w:rFonts w:ascii="Times New Roman" w:hAnsi="Times New Roman" w:cs="Times New Roman"/>
          <w:i/>
          <w:iCs/>
          <w:noProof/>
          <w:sz w:val="24"/>
          <w:szCs w:val="24"/>
        </w:rPr>
        <w:t>Geochemistry, Geophysics, Geosystems</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16</w:t>
      </w:r>
      <w:r w:rsidRPr="003E0CE3">
        <w:rPr>
          <w:rFonts w:ascii="Times New Roman" w:hAnsi="Times New Roman" w:cs="Times New Roman"/>
          <w:noProof/>
          <w:sz w:val="24"/>
          <w:szCs w:val="24"/>
        </w:rPr>
        <w:t>. https://doi.org/10.1002/2015gc005918</w:t>
      </w:r>
    </w:p>
    <w:p w14:paraId="556CC1F9"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Muirhead, James D, Wright, L. J. M., &amp; Scholz, C. A. (2019). Rift evolution in regions of low magma input in East Africa. </w:t>
      </w:r>
      <w:r w:rsidRPr="003E0CE3">
        <w:rPr>
          <w:rFonts w:ascii="Times New Roman" w:hAnsi="Times New Roman" w:cs="Times New Roman"/>
          <w:i/>
          <w:iCs/>
          <w:noProof/>
          <w:sz w:val="24"/>
          <w:szCs w:val="24"/>
        </w:rPr>
        <w:t>Earth and Planetary Science Letters</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506</w:t>
      </w:r>
      <w:r w:rsidRPr="003E0CE3">
        <w:rPr>
          <w:rFonts w:ascii="Times New Roman" w:hAnsi="Times New Roman" w:cs="Times New Roman"/>
          <w:noProof/>
          <w:sz w:val="24"/>
          <w:szCs w:val="24"/>
        </w:rPr>
        <w:t>, 332–346. https://doi.org/10.1016/j.epsl.2018.11.004</w:t>
      </w:r>
    </w:p>
    <w:p w14:paraId="4C178425" w14:textId="77777777" w:rsidR="003E0CE3" w:rsidRPr="003E0CE3" w:rsidRDefault="003E0CE3" w:rsidP="003E0CE3">
      <w:pPr>
        <w:widowControl w:val="0"/>
        <w:autoSpaceDE w:val="0"/>
        <w:autoSpaceDN w:val="0"/>
        <w:adjustRightInd w:val="0"/>
        <w:spacing w:line="240" w:lineRule="auto"/>
        <w:ind w:left="480" w:hanging="480"/>
        <w:rPr>
          <w:rFonts w:ascii="Times New Roman" w:hAnsi="Times New Roman" w:cs="Times New Roman"/>
          <w:noProof/>
          <w:sz w:val="24"/>
          <w:szCs w:val="24"/>
        </w:rPr>
      </w:pPr>
      <w:r w:rsidRPr="003E0CE3">
        <w:rPr>
          <w:rFonts w:ascii="Times New Roman" w:hAnsi="Times New Roman" w:cs="Times New Roman"/>
          <w:noProof/>
          <w:sz w:val="24"/>
          <w:szCs w:val="24"/>
        </w:rPr>
        <w:t xml:space="preserve">Pinzuti, P., Mignan, A., &amp; King, G. C. P. (2010). Surface morphology of active normal faults in hard rock: Implications for the mechanics of the Asal Rift, Djibouti. </w:t>
      </w:r>
      <w:r w:rsidRPr="003E0CE3">
        <w:rPr>
          <w:rFonts w:ascii="Times New Roman" w:hAnsi="Times New Roman" w:cs="Times New Roman"/>
          <w:i/>
          <w:iCs/>
          <w:noProof/>
          <w:sz w:val="24"/>
          <w:szCs w:val="24"/>
        </w:rPr>
        <w:t>Earth and Planetary Science Letters</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299</w:t>
      </w:r>
      <w:r w:rsidRPr="003E0CE3">
        <w:rPr>
          <w:rFonts w:ascii="Times New Roman" w:hAnsi="Times New Roman" w:cs="Times New Roman"/>
          <w:noProof/>
          <w:sz w:val="24"/>
          <w:szCs w:val="24"/>
        </w:rPr>
        <w:t>(1–2), 169–179. https://doi.org/10.1016/j.epsl.2010.08.032</w:t>
      </w:r>
    </w:p>
    <w:p w14:paraId="41D75A87" w14:textId="7A696357" w:rsidR="005B12E1" w:rsidRPr="007D04BC" w:rsidRDefault="003E0CE3" w:rsidP="00507687">
      <w:pPr>
        <w:widowControl w:val="0"/>
        <w:autoSpaceDE w:val="0"/>
        <w:autoSpaceDN w:val="0"/>
        <w:adjustRightInd w:val="0"/>
        <w:spacing w:line="240" w:lineRule="auto"/>
        <w:ind w:left="480" w:hanging="480"/>
        <w:rPr>
          <w:rFonts w:ascii="Times New Roman" w:eastAsia="Times New Roman" w:hAnsi="Times New Roman" w:cs="Times New Roman"/>
          <w:b/>
          <w:sz w:val="24"/>
          <w:szCs w:val="24"/>
        </w:rPr>
      </w:pPr>
      <w:r w:rsidRPr="003E0CE3">
        <w:rPr>
          <w:rFonts w:ascii="Times New Roman" w:hAnsi="Times New Roman" w:cs="Times New Roman"/>
          <w:noProof/>
          <w:sz w:val="24"/>
          <w:szCs w:val="24"/>
        </w:rPr>
        <w:lastRenderedPageBreak/>
        <w:t xml:space="preserve">Tibaldi, A. (1995). Morphology of pyroclastic cones and tectonics. </w:t>
      </w:r>
      <w:r w:rsidRPr="003E0CE3">
        <w:rPr>
          <w:rFonts w:ascii="Times New Roman" w:hAnsi="Times New Roman" w:cs="Times New Roman"/>
          <w:i/>
          <w:iCs/>
          <w:noProof/>
          <w:sz w:val="24"/>
          <w:szCs w:val="24"/>
        </w:rPr>
        <w:t>Journal of Geophysical Research-Solid Earth</w:t>
      </w:r>
      <w:r w:rsidRPr="003E0CE3">
        <w:rPr>
          <w:rFonts w:ascii="Times New Roman" w:hAnsi="Times New Roman" w:cs="Times New Roman"/>
          <w:noProof/>
          <w:sz w:val="24"/>
          <w:szCs w:val="24"/>
        </w:rPr>
        <w:t xml:space="preserve">, </w:t>
      </w:r>
      <w:r w:rsidRPr="003E0CE3">
        <w:rPr>
          <w:rFonts w:ascii="Times New Roman" w:hAnsi="Times New Roman" w:cs="Times New Roman"/>
          <w:i/>
          <w:iCs/>
          <w:noProof/>
          <w:sz w:val="24"/>
          <w:szCs w:val="24"/>
        </w:rPr>
        <w:t>100</w:t>
      </w:r>
      <w:r w:rsidRPr="003E0CE3">
        <w:rPr>
          <w:rFonts w:ascii="Times New Roman" w:hAnsi="Times New Roman" w:cs="Times New Roman"/>
          <w:noProof/>
          <w:sz w:val="24"/>
          <w:szCs w:val="24"/>
        </w:rPr>
        <w:t>(B12), 24521–24535. https://doi.org/10.1029/95jb02250</w:t>
      </w:r>
      <w:r w:rsidR="00381702">
        <w:rPr>
          <w:rFonts w:ascii="Times New Roman" w:hAnsi="Times New Roman" w:cs="Times New Roman"/>
          <w:b/>
          <w:sz w:val="24"/>
          <w:szCs w:val="24"/>
        </w:rPr>
        <w:fldChar w:fldCharType="end"/>
      </w:r>
      <w:r w:rsidR="005B12E1" w:rsidRPr="007D04BC">
        <w:rPr>
          <w:rFonts w:ascii="Times New Roman" w:hAnsi="Times New Roman" w:cs="Times New Roman"/>
          <w:b/>
          <w:sz w:val="24"/>
          <w:szCs w:val="24"/>
        </w:rPr>
        <w:br w:type="page"/>
      </w:r>
    </w:p>
    <w:p w14:paraId="7DB8C89A" w14:textId="79732E27" w:rsidR="005B12E1" w:rsidRDefault="0011705A" w:rsidP="005B12E1">
      <w:r>
        <w:rPr>
          <w:noProof/>
        </w:rPr>
        <w:lastRenderedPageBreak/>
        <w:drawing>
          <wp:inline distT="0" distB="0" distL="0" distR="0" wp14:anchorId="2B5EE75B" wp14:editId="72F21285">
            <wp:extent cx="5943600" cy="39782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78275"/>
                    </a:xfrm>
                    <a:prstGeom prst="rect">
                      <a:avLst/>
                    </a:prstGeom>
                    <a:noFill/>
                    <a:ln>
                      <a:noFill/>
                    </a:ln>
                  </pic:spPr>
                </pic:pic>
              </a:graphicData>
            </a:graphic>
          </wp:inline>
        </w:drawing>
      </w:r>
    </w:p>
    <w:p w14:paraId="34F4BACD" w14:textId="2418F309" w:rsidR="005B12E1" w:rsidRPr="00001E55" w:rsidRDefault="005B12E1" w:rsidP="005B12E1">
      <w:pPr>
        <w:autoSpaceDE w:val="0"/>
        <w:autoSpaceDN w:val="0"/>
        <w:adjustRightInd w:val="0"/>
        <w:spacing w:line="480" w:lineRule="auto"/>
        <w:jc w:val="both"/>
        <w:rPr>
          <w:rFonts w:ascii="Times New Roman" w:hAnsi="Times New Roman" w:cs="Times New Roman"/>
          <w:sz w:val="24"/>
          <w:szCs w:val="24"/>
        </w:rPr>
      </w:pPr>
      <w:r w:rsidRPr="00001E55">
        <w:rPr>
          <w:rFonts w:ascii="Times New Roman" w:hAnsi="Times New Roman" w:cs="Times New Roman"/>
          <w:sz w:val="24"/>
          <w:szCs w:val="24"/>
        </w:rPr>
        <w:t>Figure S</w:t>
      </w:r>
      <w:r>
        <w:rPr>
          <w:rFonts w:ascii="Times New Roman" w:hAnsi="Times New Roman" w:cs="Times New Roman"/>
          <w:sz w:val="24"/>
          <w:szCs w:val="24"/>
        </w:rPr>
        <w:t>1</w:t>
      </w:r>
      <w:r w:rsidRPr="00001E55">
        <w:rPr>
          <w:rFonts w:ascii="Times New Roman" w:hAnsi="Times New Roman" w:cs="Times New Roman"/>
          <w:sz w:val="24"/>
          <w:szCs w:val="24"/>
        </w:rPr>
        <w:t>. Example images from Google Earth representing the classification of cone morphologies used to determine cone lineaments in t</w:t>
      </w:r>
      <w:r w:rsidR="003B02BF">
        <w:rPr>
          <w:rFonts w:ascii="Times New Roman" w:hAnsi="Times New Roman" w:cs="Times New Roman"/>
          <w:sz w:val="24"/>
          <w:szCs w:val="24"/>
        </w:rPr>
        <w:t>he current study</w:t>
      </w:r>
      <w:r w:rsidR="0011705A">
        <w:rPr>
          <w:rFonts w:ascii="Times New Roman" w:hAnsi="Times New Roman" w:cs="Times New Roman"/>
          <w:sz w:val="24"/>
          <w:szCs w:val="24"/>
        </w:rPr>
        <w:t>, which follow that of Muirhead et al. (2015)</w:t>
      </w:r>
      <w:r w:rsidR="003B02BF">
        <w:rPr>
          <w:rFonts w:ascii="Times New Roman" w:hAnsi="Times New Roman" w:cs="Times New Roman"/>
          <w:sz w:val="24"/>
          <w:szCs w:val="24"/>
        </w:rPr>
        <w:t xml:space="preserve">. Examples are </w:t>
      </w:r>
      <w:r w:rsidRPr="00001E55">
        <w:rPr>
          <w:rFonts w:ascii="Times New Roman" w:hAnsi="Times New Roman" w:cs="Times New Roman"/>
          <w:sz w:val="24"/>
          <w:szCs w:val="24"/>
        </w:rPr>
        <w:t xml:space="preserve">from the </w:t>
      </w:r>
      <w:proofErr w:type="spellStart"/>
      <w:r w:rsidR="003B02BF">
        <w:rPr>
          <w:rFonts w:ascii="Times New Roman" w:hAnsi="Times New Roman" w:cs="Times New Roman"/>
          <w:sz w:val="24"/>
          <w:szCs w:val="24"/>
        </w:rPr>
        <w:t>Boset</w:t>
      </w:r>
      <w:proofErr w:type="spellEnd"/>
      <w:r w:rsidR="003B02BF">
        <w:rPr>
          <w:rFonts w:ascii="Times New Roman" w:hAnsi="Times New Roman" w:cs="Times New Roman"/>
          <w:sz w:val="24"/>
          <w:szCs w:val="24"/>
        </w:rPr>
        <w:t xml:space="preserve"> </w:t>
      </w:r>
      <w:r w:rsidRPr="00001E55">
        <w:rPr>
          <w:rFonts w:ascii="Times New Roman" w:hAnsi="Times New Roman" w:cs="Times New Roman"/>
          <w:sz w:val="24"/>
          <w:szCs w:val="24"/>
        </w:rPr>
        <w:t>segment in Ethiopia (</w:t>
      </w:r>
      <w:r w:rsidR="003B02BF">
        <w:rPr>
          <w:rFonts w:ascii="Times New Roman" w:hAnsi="Times New Roman" w:cs="Times New Roman"/>
          <w:sz w:val="24"/>
          <w:szCs w:val="24"/>
        </w:rPr>
        <w:t>A</w:t>
      </w:r>
      <w:r w:rsidRPr="00001E55">
        <w:rPr>
          <w:rFonts w:ascii="Times New Roman" w:hAnsi="Times New Roman" w:cs="Times New Roman"/>
          <w:sz w:val="24"/>
          <w:szCs w:val="24"/>
        </w:rPr>
        <w:t xml:space="preserve">), Natron Basin in Tanzania </w:t>
      </w:r>
      <w:r w:rsidR="00B971EF">
        <w:rPr>
          <w:rFonts w:ascii="Times New Roman" w:hAnsi="Times New Roman" w:cs="Times New Roman"/>
          <w:sz w:val="24"/>
          <w:szCs w:val="24"/>
        </w:rPr>
        <w:t>(</w:t>
      </w:r>
      <w:r w:rsidR="003B02BF">
        <w:rPr>
          <w:rFonts w:ascii="Times New Roman" w:hAnsi="Times New Roman" w:cs="Times New Roman"/>
          <w:sz w:val="24"/>
          <w:szCs w:val="24"/>
        </w:rPr>
        <w:t>B</w:t>
      </w:r>
      <w:r w:rsidRPr="00001E55">
        <w:rPr>
          <w:rFonts w:ascii="Times New Roman" w:hAnsi="Times New Roman" w:cs="Times New Roman"/>
          <w:sz w:val="24"/>
          <w:szCs w:val="24"/>
        </w:rPr>
        <w:t xml:space="preserve">), and </w:t>
      </w:r>
      <w:proofErr w:type="spellStart"/>
      <w:r w:rsidRPr="00001E55">
        <w:rPr>
          <w:rFonts w:ascii="Times New Roman" w:hAnsi="Times New Roman" w:cs="Times New Roman"/>
          <w:sz w:val="24"/>
          <w:szCs w:val="24"/>
        </w:rPr>
        <w:t>Virungu</w:t>
      </w:r>
      <w:proofErr w:type="spellEnd"/>
      <w:r w:rsidRPr="00001E55">
        <w:rPr>
          <w:rFonts w:ascii="Times New Roman" w:hAnsi="Times New Roman" w:cs="Times New Roman"/>
          <w:sz w:val="24"/>
          <w:szCs w:val="24"/>
        </w:rPr>
        <w:t xml:space="preserve"> Province in the Democratic Republic of Congo</w:t>
      </w:r>
      <w:r w:rsidR="003B02BF">
        <w:rPr>
          <w:rFonts w:ascii="Times New Roman" w:hAnsi="Times New Roman" w:cs="Times New Roman"/>
          <w:sz w:val="24"/>
          <w:szCs w:val="24"/>
        </w:rPr>
        <w:t xml:space="preserve"> (C)</w:t>
      </w:r>
      <w:r w:rsidRPr="00001E55">
        <w:rPr>
          <w:rFonts w:ascii="Times New Roman" w:hAnsi="Times New Roman" w:cs="Times New Roman"/>
          <w:sz w:val="24"/>
          <w:szCs w:val="24"/>
        </w:rPr>
        <w:t xml:space="preserve">. Double-sided arrows show the orientation of the cone lineaments for each cone based on crater elongation (A &amp; B) and breaching direction </w:t>
      </w:r>
      <w:r w:rsidR="003B02BF">
        <w:rPr>
          <w:rFonts w:ascii="Times New Roman" w:hAnsi="Times New Roman" w:cs="Times New Roman"/>
          <w:sz w:val="24"/>
          <w:szCs w:val="24"/>
        </w:rPr>
        <w:t>(C</w:t>
      </w:r>
      <w:r w:rsidRPr="00001E55">
        <w:rPr>
          <w:rFonts w:ascii="Times New Roman" w:hAnsi="Times New Roman" w:cs="Times New Roman"/>
          <w:sz w:val="24"/>
          <w:szCs w:val="24"/>
        </w:rPr>
        <w:t xml:space="preserve">). </w:t>
      </w:r>
    </w:p>
    <w:p w14:paraId="2BAF11E2" w14:textId="77777777" w:rsidR="000D36DB" w:rsidRDefault="000D36DB" w:rsidP="000D36DB">
      <w:pPr>
        <w:pStyle w:val="BodyText"/>
        <w:spacing w:before="204" w:line="480" w:lineRule="auto"/>
        <w:ind w:left="0" w:right="70" w:firstLine="540"/>
      </w:pPr>
    </w:p>
    <w:p w14:paraId="764DC28C" w14:textId="77777777" w:rsidR="000D36DB" w:rsidRDefault="000D36DB">
      <w:pPr>
        <w:rPr>
          <w:rFonts w:ascii="Times New Roman" w:eastAsia="Times New Roman" w:hAnsi="Times New Roman" w:cs="Times New Roman"/>
          <w:sz w:val="24"/>
          <w:szCs w:val="24"/>
        </w:rPr>
      </w:pPr>
      <w:r>
        <w:br w:type="page"/>
      </w:r>
    </w:p>
    <w:p w14:paraId="202D5E96" w14:textId="77777777" w:rsidR="005560A3" w:rsidRPr="005560A3" w:rsidRDefault="005560A3" w:rsidP="000D36DB">
      <w:pPr>
        <w:pStyle w:val="BodyText"/>
        <w:spacing w:before="204" w:line="480" w:lineRule="auto"/>
        <w:ind w:left="0" w:right="70" w:firstLine="540"/>
      </w:pPr>
    </w:p>
    <w:p w14:paraId="07925F5C" w14:textId="77777777" w:rsidR="00542673" w:rsidRDefault="00542673" w:rsidP="00542673"/>
    <w:p w14:paraId="15610F1C" w14:textId="77777777" w:rsidR="00BC586F" w:rsidRDefault="00542673">
      <w:r w:rsidRPr="00542673">
        <w:rPr>
          <w:noProof/>
        </w:rPr>
        <w:drawing>
          <wp:inline distT="0" distB="0" distL="0" distR="0" wp14:anchorId="5DBFD83B" wp14:editId="23D74AEB">
            <wp:extent cx="5943600" cy="4096360"/>
            <wp:effectExtent l="0" t="0" r="0" b="0"/>
            <wp:docPr id="1" name="Picture 1" descr="\\shared.ad.syr.edu\as-filer\gol-chui\ION_Turkana_Atlas\Not the final atlas\Figures\Fig12_fault_f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ad.syr.edu\as-filer\gol-chui\ION_Turkana_Atlas\Not the final atlas\Figures\Fig12_fault_fol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096360"/>
                    </a:xfrm>
                    <a:prstGeom prst="rect">
                      <a:avLst/>
                    </a:prstGeom>
                    <a:noFill/>
                    <a:ln>
                      <a:noFill/>
                    </a:ln>
                  </pic:spPr>
                </pic:pic>
              </a:graphicData>
            </a:graphic>
          </wp:inline>
        </w:drawing>
      </w:r>
    </w:p>
    <w:p w14:paraId="478D71F9" w14:textId="77777777" w:rsidR="005560A3" w:rsidRPr="00DA5E81" w:rsidRDefault="00001E55" w:rsidP="00DA5E81">
      <w:pPr>
        <w:spacing w:before="188" w:line="480" w:lineRule="auto"/>
        <w:ind w:left="302" w:right="147"/>
        <w:rPr>
          <w:rFonts w:ascii="Times New Roman" w:hAnsi="Times New Roman" w:cs="Times New Roman"/>
          <w:sz w:val="24"/>
          <w:szCs w:val="24"/>
        </w:rPr>
      </w:pPr>
      <w:r w:rsidRPr="00DA5E81">
        <w:rPr>
          <w:rFonts w:ascii="Times New Roman" w:hAnsi="Times New Roman" w:cs="Times New Roman"/>
          <w:sz w:val="24"/>
          <w:szCs w:val="24"/>
        </w:rPr>
        <w:t>Figure S</w:t>
      </w:r>
      <w:r w:rsidR="005B12E1">
        <w:rPr>
          <w:rFonts w:ascii="Times New Roman" w:hAnsi="Times New Roman" w:cs="Times New Roman"/>
          <w:sz w:val="24"/>
          <w:szCs w:val="24"/>
        </w:rPr>
        <w:t>2</w:t>
      </w:r>
      <w:r w:rsidR="005560A3" w:rsidRPr="00DA5E81">
        <w:rPr>
          <w:rFonts w:ascii="Times New Roman" w:hAnsi="Times New Roman" w:cs="Times New Roman"/>
          <w:sz w:val="24"/>
          <w:szCs w:val="24"/>
        </w:rPr>
        <w:t>: Conceptual model for the development of fault propagation folds based on Grant and Kattenhorn (2004) and Martel and Langley (2006).</w:t>
      </w:r>
    </w:p>
    <w:p w14:paraId="185A3E44" w14:textId="77777777" w:rsidR="00542673" w:rsidRDefault="00542673"/>
    <w:p w14:paraId="59138441" w14:textId="77777777" w:rsidR="00542673" w:rsidRDefault="00C15CED">
      <w:r w:rsidRPr="00C15CED">
        <w:rPr>
          <w:noProof/>
        </w:rPr>
        <w:lastRenderedPageBreak/>
        <w:drawing>
          <wp:inline distT="0" distB="0" distL="0" distR="0" wp14:anchorId="1561F10A" wp14:editId="6968D40A">
            <wp:extent cx="3538220" cy="3482975"/>
            <wp:effectExtent l="0" t="0" r="5080" b="3175"/>
            <wp:docPr id="6" name="Picture 6" descr="C:\Users\jdmuirhe\Dropbox\Thesis Backup\Papers\InPrep\Muirhead_Magma_rifting_turkana\Figures\Supplemental\FigS3_ContinuosDiscontinousFaul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muirhe\Dropbox\Thesis Backup\Papers\InPrep\Muirhead_Magma_rifting_turkana\Figures\Supplemental\FigS3_ContinuosDiscontinousFault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8220" cy="3482975"/>
                    </a:xfrm>
                    <a:prstGeom prst="rect">
                      <a:avLst/>
                    </a:prstGeom>
                    <a:noFill/>
                    <a:ln>
                      <a:noFill/>
                    </a:ln>
                  </pic:spPr>
                </pic:pic>
              </a:graphicData>
            </a:graphic>
          </wp:inline>
        </w:drawing>
      </w:r>
    </w:p>
    <w:p w14:paraId="5CC58B60" w14:textId="0DE5A25C" w:rsidR="00BA1D86" w:rsidRDefault="00001E55" w:rsidP="00DA5E81">
      <w:pPr>
        <w:spacing w:line="480" w:lineRule="auto"/>
        <w:rPr>
          <w:rFonts w:ascii="Times New Roman" w:hAnsi="Times New Roman" w:cs="Times New Roman"/>
          <w:sz w:val="24"/>
          <w:szCs w:val="24"/>
        </w:rPr>
      </w:pPr>
      <w:r w:rsidRPr="00DA5E81">
        <w:rPr>
          <w:rFonts w:ascii="Times New Roman" w:hAnsi="Times New Roman" w:cs="Times New Roman"/>
          <w:sz w:val="24"/>
          <w:szCs w:val="24"/>
        </w:rPr>
        <w:t>Figure S</w:t>
      </w:r>
      <w:r w:rsidR="005B12E1">
        <w:rPr>
          <w:rFonts w:ascii="Times New Roman" w:hAnsi="Times New Roman" w:cs="Times New Roman"/>
          <w:sz w:val="24"/>
          <w:szCs w:val="24"/>
        </w:rPr>
        <w:t>3</w:t>
      </w:r>
      <w:r w:rsidRPr="00DA5E81">
        <w:rPr>
          <w:rFonts w:ascii="Times New Roman" w:hAnsi="Times New Roman" w:cs="Times New Roman"/>
          <w:sz w:val="24"/>
          <w:szCs w:val="24"/>
        </w:rPr>
        <w:t xml:space="preserve">. </w:t>
      </w:r>
      <w:r w:rsidR="00C15CED">
        <w:rPr>
          <w:rFonts w:ascii="Times New Roman" w:hAnsi="Times New Roman" w:cs="Times New Roman"/>
          <w:sz w:val="24"/>
          <w:szCs w:val="24"/>
        </w:rPr>
        <w:t>Conceptual illustration of continuous (fault breaks) and discontinuous displacements (fault-related folds) observed in growth faults in reflection seismic data (A). At depth, a distinct fault break is observed, with throw values (i.e., vertical separation between footwall and hanging</w:t>
      </w:r>
      <w:r w:rsidR="0011705A">
        <w:rPr>
          <w:rFonts w:ascii="Times New Roman" w:hAnsi="Times New Roman" w:cs="Times New Roman"/>
          <w:sz w:val="24"/>
          <w:szCs w:val="24"/>
        </w:rPr>
        <w:t xml:space="preserve"> </w:t>
      </w:r>
      <w:r w:rsidR="00C15CED">
        <w:rPr>
          <w:rFonts w:ascii="Times New Roman" w:hAnsi="Times New Roman" w:cs="Times New Roman"/>
          <w:sz w:val="24"/>
          <w:szCs w:val="24"/>
        </w:rPr>
        <w:t>wall cutoffs) represented as a black line on the plot in B. Dotted line represents throw values that also accommodate for observed continuous displacements related to fault-propagation folding.</w:t>
      </w:r>
    </w:p>
    <w:p w14:paraId="2180D2F2" w14:textId="4ECC8B00" w:rsidR="005560A3" w:rsidRPr="005B12E1" w:rsidRDefault="001D14BF" w:rsidP="005B12E1">
      <w:pPr>
        <w:spacing w:line="480" w:lineRule="auto"/>
        <w:rPr>
          <w:rFonts w:ascii="Times New Roman" w:hAnsi="Times New Roman" w:cs="Times New Roman"/>
          <w:sz w:val="24"/>
          <w:szCs w:val="24"/>
        </w:rPr>
      </w:pPr>
      <w:r w:rsidRPr="00DA5E81">
        <w:rPr>
          <w:rFonts w:ascii="Times New Roman" w:hAnsi="Times New Roman" w:cs="Times New Roman"/>
          <w:sz w:val="24"/>
          <w:szCs w:val="24"/>
        </w:rPr>
        <w:br w:type="page"/>
      </w:r>
      <w:r w:rsidR="001D345D">
        <w:rPr>
          <w:noProof/>
        </w:rPr>
        <w:lastRenderedPageBreak/>
        <w:drawing>
          <wp:inline distT="0" distB="0" distL="0" distR="0" wp14:anchorId="2EBCF14E" wp14:editId="06679505">
            <wp:extent cx="5705475" cy="5419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5475" cy="5419725"/>
                    </a:xfrm>
                    <a:prstGeom prst="rect">
                      <a:avLst/>
                    </a:prstGeom>
                    <a:noFill/>
                    <a:ln>
                      <a:noFill/>
                    </a:ln>
                  </pic:spPr>
                </pic:pic>
              </a:graphicData>
            </a:graphic>
          </wp:inline>
        </w:drawing>
      </w:r>
    </w:p>
    <w:p w14:paraId="6629450F" w14:textId="1C00D363" w:rsidR="00C5151B" w:rsidRPr="00001E55" w:rsidRDefault="00B0109E" w:rsidP="004363F5">
      <w:pPr>
        <w:spacing w:line="480" w:lineRule="auto"/>
        <w:rPr>
          <w:rFonts w:ascii="Times New Roman" w:hAnsi="Times New Roman" w:cs="Times New Roman"/>
          <w:sz w:val="24"/>
          <w:szCs w:val="24"/>
        </w:rPr>
      </w:pPr>
      <w:r w:rsidRPr="00001E55">
        <w:rPr>
          <w:rFonts w:ascii="Times New Roman" w:hAnsi="Times New Roman" w:cs="Times New Roman"/>
          <w:sz w:val="24"/>
          <w:szCs w:val="24"/>
        </w:rPr>
        <w:t xml:space="preserve">Fig </w:t>
      </w:r>
      <w:r w:rsidR="00001E55" w:rsidRPr="00001E55">
        <w:rPr>
          <w:rFonts w:ascii="Times New Roman" w:hAnsi="Times New Roman" w:cs="Times New Roman"/>
          <w:sz w:val="24"/>
          <w:szCs w:val="24"/>
        </w:rPr>
        <w:t>S4</w:t>
      </w:r>
      <w:r w:rsidRPr="00001E55">
        <w:rPr>
          <w:rFonts w:ascii="Times New Roman" w:hAnsi="Times New Roman" w:cs="Times New Roman"/>
          <w:sz w:val="24"/>
          <w:szCs w:val="24"/>
        </w:rPr>
        <w:t xml:space="preserve">. </w:t>
      </w:r>
      <w:r w:rsidR="00CD2F85">
        <w:rPr>
          <w:rFonts w:ascii="Times New Roman" w:hAnsi="Times New Roman" w:cs="Times New Roman"/>
          <w:sz w:val="24"/>
          <w:szCs w:val="24"/>
        </w:rPr>
        <w:t xml:space="preserve">(A) location of core 46P, which was used to date Horizon 3 (red arrows point to the horizon) </w:t>
      </w:r>
      <w:r w:rsidR="00C5151B">
        <w:rPr>
          <w:rFonts w:ascii="Times New Roman" w:hAnsi="Times New Roman" w:cs="Times New Roman"/>
          <w:sz w:val="24"/>
          <w:szCs w:val="24"/>
        </w:rPr>
        <w:t xml:space="preserve">at depth of </w:t>
      </w:r>
      <w:r w:rsidR="00C5151B">
        <w:rPr>
          <w:rFonts w:ascii="Times New Roman" w:hAnsi="Times New Roman" w:cs="Times New Roman"/>
          <w:color w:val="000000"/>
          <w:sz w:val="24"/>
          <w:szCs w:val="24"/>
        </w:rPr>
        <w:t>610.5 cm in the recovered core</w:t>
      </w:r>
      <w:r w:rsidR="00B22A18">
        <w:rPr>
          <w:rFonts w:ascii="Times New Roman" w:hAnsi="Times New Roman" w:cs="Times New Roman"/>
          <w:sz w:val="24"/>
          <w:szCs w:val="24"/>
        </w:rPr>
        <w:t xml:space="preserve">. </w:t>
      </w:r>
      <w:r w:rsidR="00CD2F85">
        <w:rPr>
          <w:rFonts w:ascii="Times New Roman" w:hAnsi="Times New Roman" w:cs="Times New Roman"/>
          <w:sz w:val="24"/>
          <w:szCs w:val="24"/>
        </w:rPr>
        <w:t xml:space="preserve">(B) </w:t>
      </w:r>
      <w:r w:rsidR="00C5151B">
        <w:rPr>
          <w:rFonts w:ascii="Times New Roman" w:hAnsi="Times New Roman" w:cs="Times New Roman"/>
          <w:sz w:val="24"/>
          <w:szCs w:val="24"/>
        </w:rPr>
        <w:t xml:space="preserve">Age-model produced from the </w:t>
      </w:r>
      <w:r w:rsidR="00C5151B" w:rsidRPr="00681487">
        <w:rPr>
          <w:rFonts w:ascii="Times New Roman" w:hAnsi="Times New Roman" w:cs="Times New Roman"/>
          <w:sz w:val="24"/>
          <w:szCs w:val="24"/>
        </w:rPr>
        <w:t>f</w:t>
      </w:r>
      <w:r w:rsidR="00C5151B">
        <w:rPr>
          <w:rFonts w:ascii="Times New Roman" w:hAnsi="Times New Roman" w:cs="Times New Roman"/>
          <w:sz w:val="24"/>
          <w:szCs w:val="24"/>
        </w:rPr>
        <w:t>l</w:t>
      </w:r>
      <w:r w:rsidR="00C5151B" w:rsidRPr="00681487">
        <w:rPr>
          <w:rFonts w:ascii="Times New Roman" w:hAnsi="Times New Roman" w:cs="Times New Roman"/>
          <w:sz w:val="24"/>
          <w:szCs w:val="24"/>
        </w:rPr>
        <w:t>exible Bay</w:t>
      </w:r>
      <w:r w:rsidR="00C5151B">
        <w:rPr>
          <w:rFonts w:ascii="Times New Roman" w:hAnsi="Times New Roman" w:cs="Times New Roman"/>
          <w:sz w:val="24"/>
          <w:szCs w:val="24"/>
        </w:rPr>
        <w:t xml:space="preserve">esian age depth program, Bacon. </w:t>
      </w:r>
      <w:r w:rsidR="00C5151B">
        <w:rPr>
          <w:rFonts w:ascii="Times New Roman" w:hAnsi="Times New Roman" w:cs="Times New Roman"/>
          <w:color w:val="000000"/>
          <w:sz w:val="24"/>
          <w:szCs w:val="24"/>
        </w:rPr>
        <w:t>Radiocarbon</w:t>
      </w:r>
      <w:r w:rsidR="00C5151B" w:rsidRPr="00E16B8D">
        <w:rPr>
          <w:rFonts w:ascii="Times New Roman" w:hAnsi="Times New Roman" w:cs="Times New Roman"/>
          <w:color w:val="000000"/>
          <w:sz w:val="24"/>
          <w:szCs w:val="24"/>
        </w:rPr>
        <w:t xml:space="preserve"> ages were calibrated using the IntCal13 calibration curve.</w:t>
      </w:r>
      <w:r w:rsidR="00C5151B">
        <w:rPr>
          <w:rFonts w:ascii="Times New Roman" w:hAnsi="Times New Roman" w:cs="Times New Roman"/>
          <w:color w:val="000000"/>
          <w:sz w:val="24"/>
          <w:szCs w:val="24"/>
        </w:rPr>
        <w:t xml:space="preserve"> Blue polygons represent the radiocarbon-dated samples summarized in Table S1.</w:t>
      </w:r>
      <w:r w:rsidR="00FC4FD0">
        <w:rPr>
          <w:rFonts w:ascii="Times New Roman" w:hAnsi="Times New Roman" w:cs="Times New Roman"/>
          <w:color w:val="000000"/>
          <w:sz w:val="24"/>
          <w:szCs w:val="24"/>
        </w:rPr>
        <w:t xml:space="preserve"> Note that radiocarbon age</w:t>
      </w:r>
      <w:r w:rsidR="00310A4A">
        <w:rPr>
          <w:rFonts w:ascii="Times New Roman" w:hAnsi="Times New Roman" w:cs="Times New Roman"/>
          <w:color w:val="000000"/>
          <w:sz w:val="24"/>
          <w:szCs w:val="24"/>
        </w:rPr>
        <w:t xml:space="preserve"> scale</w:t>
      </w:r>
      <w:r w:rsidR="00FC4FD0">
        <w:rPr>
          <w:rFonts w:ascii="Times New Roman" w:hAnsi="Times New Roman" w:cs="Times New Roman"/>
          <w:color w:val="000000"/>
          <w:sz w:val="24"/>
          <w:szCs w:val="24"/>
        </w:rPr>
        <w:t xml:space="preserve"> ha</w:t>
      </w:r>
      <w:r w:rsidR="00310A4A">
        <w:rPr>
          <w:rFonts w:ascii="Times New Roman" w:hAnsi="Times New Roman" w:cs="Times New Roman"/>
          <w:color w:val="000000"/>
          <w:sz w:val="24"/>
          <w:szCs w:val="24"/>
        </w:rPr>
        <w:t>s a</w:t>
      </w:r>
      <w:r w:rsidR="00FC4FD0">
        <w:rPr>
          <w:rFonts w:ascii="Times New Roman" w:hAnsi="Times New Roman" w:cs="Times New Roman"/>
          <w:color w:val="000000"/>
          <w:sz w:val="24"/>
          <w:szCs w:val="24"/>
        </w:rPr>
        <w:t xml:space="preserve"> reference age of 1950 CE, and thus 60 years </w:t>
      </w:r>
      <w:r w:rsidR="00310A4A">
        <w:rPr>
          <w:rFonts w:ascii="Times New Roman" w:hAnsi="Times New Roman" w:cs="Times New Roman"/>
          <w:color w:val="000000"/>
          <w:sz w:val="24"/>
          <w:szCs w:val="24"/>
        </w:rPr>
        <w:t>was</w:t>
      </w:r>
      <w:r w:rsidR="00FC4FD0">
        <w:rPr>
          <w:rFonts w:ascii="Times New Roman" w:hAnsi="Times New Roman" w:cs="Times New Roman"/>
          <w:color w:val="000000"/>
          <w:sz w:val="24"/>
          <w:szCs w:val="24"/>
        </w:rPr>
        <w:t xml:space="preserve"> added to the </w:t>
      </w:r>
      <w:r w:rsidR="00310A4A">
        <w:rPr>
          <w:rFonts w:ascii="Times New Roman" w:hAnsi="Times New Roman" w:cs="Times New Roman"/>
          <w:color w:val="000000"/>
          <w:sz w:val="24"/>
          <w:szCs w:val="24"/>
        </w:rPr>
        <w:t xml:space="preserve">radiocarbon </w:t>
      </w:r>
      <w:r w:rsidR="00FC4FD0">
        <w:rPr>
          <w:rFonts w:ascii="Times New Roman" w:hAnsi="Times New Roman" w:cs="Times New Roman"/>
          <w:color w:val="000000"/>
          <w:sz w:val="24"/>
          <w:szCs w:val="24"/>
        </w:rPr>
        <w:t>age shown in this figure, to correspond to the year that the seismic data were collected</w:t>
      </w:r>
      <w:r w:rsidR="00BC586F">
        <w:rPr>
          <w:rFonts w:ascii="Times New Roman" w:hAnsi="Times New Roman" w:cs="Times New Roman"/>
          <w:color w:val="000000"/>
          <w:sz w:val="24"/>
          <w:szCs w:val="24"/>
        </w:rPr>
        <w:t xml:space="preserve"> (2010 CE)</w:t>
      </w:r>
      <w:r w:rsidR="00FC4FD0">
        <w:rPr>
          <w:rFonts w:ascii="Times New Roman" w:hAnsi="Times New Roman" w:cs="Times New Roman"/>
          <w:color w:val="000000"/>
          <w:sz w:val="24"/>
          <w:szCs w:val="24"/>
        </w:rPr>
        <w:t>.</w:t>
      </w:r>
    </w:p>
    <w:p w14:paraId="584B44A9" w14:textId="77777777" w:rsidR="00001E55" w:rsidRPr="00AA4F67" w:rsidRDefault="005560A3" w:rsidP="005B12E1">
      <w:pPr>
        <w:spacing w:line="480" w:lineRule="auto"/>
        <w:rPr>
          <w:rFonts w:ascii="Times New Roman" w:hAnsi="Times New Roman" w:cs="Times New Roman"/>
          <w:sz w:val="24"/>
          <w:szCs w:val="24"/>
        </w:rPr>
      </w:pPr>
      <w:r>
        <w:br w:type="page"/>
      </w:r>
      <w:r w:rsidR="00001E55" w:rsidRPr="00AA4F67">
        <w:rPr>
          <w:rFonts w:ascii="Times New Roman" w:hAnsi="Times New Roman" w:cs="Times New Roman"/>
          <w:noProof/>
          <w:sz w:val="24"/>
          <w:szCs w:val="24"/>
        </w:rPr>
        <w:lastRenderedPageBreak/>
        <w:t xml:space="preserve">Table S1. Radiocarbon ages for samples collected from core 46P in the South Turkana Basin. </w:t>
      </w:r>
      <w:r w:rsidR="00001E55" w:rsidRPr="00AA4F67">
        <w:rPr>
          <w:rFonts w:ascii="Times New Roman" w:hAnsi="Times New Roman" w:cs="Times New Roman"/>
          <w:sz w:val="24"/>
          <w:szCs w:val="24"/>
        </w:rPr>
        <w:t xml:space="preserve">M = Macrophyte; OM = Organic Mud; OS = </w:t>
      </w:r>
      <w:proofErr w:type="spellStart"/>
      <w:r w:rsidR="00001E55" w:rsidRPr="00AA4F67">
        <w:rPr>
          <w:rFonts w:ascii="Times New Roman" w:hAnsi="Times New Roman" w:cs="Times New Roman"/>
          <w:sz w:val="24"/>
          <w:szCs w:val="24"/>
        </w:rPr>
        <w:t>Ostracode</w:t>
      </w:r>
      <w:proofErr w:type="spellEnd"/>
      <w:r w:rsidR="00001E55" w:rsidRPr="00AA4F67">
        <w:rPr>
          <w:rFonts w:ascii="Times New Roman" w:hAnsi="Times New Roman" w:cs="Times New Roman"/>
          <w:sz w:val="24"/>
          <w:szCs w:val="24"/>
        </w:rPr>
        <w:t xml:space="preserve"> Shells; CM = Carbonate Mud; GS = Gastropod Shells</w:t>
      </w:r>
    </w:p>
    <w:p w14:paraId="5A95FD08" w14:textId="77777777" w:rsidR="00001E55" w:rsidRPr="00AA4F67" w:rsidRDefault="00001E55" w:rsidP="00001E55">
      <w:pPr>
        <w:autoSpaceDE w:val="0"/>
        <w:autoSpaceDN w:val="0"/>
        <w:adjustRightInd w:val="0"/>
        <w:spacing w:after="0" w:line="240" w:lineRule="auto"/>
        <w:rPr>
          <w:rFonts w:ascii="Times New Roman" w:hAnsi="Times New Roman" w:cs="Times New Roman"/>
          <w:sz w:val="28"/>
          <w:szCs w:val="28"/>
        </w:rPr>
      </w:pPr>
    </w:p>
    <w:tbl>
      <w:tblPr>
        <w:tblW w:w="5840" w:type="dxa"/>
        <w:tblLook w:val="04A0" w:firstRow="1" w:lastRow="0" w:firstColumn="1" w:lastColumn="0" w:noHBand="0" w:noVBand="1"/>
      </w:tblPr>
      <w:tblGrid>
        <w:gridCol w:w="2020"/>
        <w:gridCol w:w="940"/>
        <w:gridCol w:w="960"/>
        <w:gridCol w:w="960"/>
        <w:gridCol w:w="960"/>
      </w:tblGrid>
      <w:tr w:rsidR="00001E55" w:rsidRPr="00681487" w14:paraId="7EBB0025" w14:textId="77777777" w:rsidTr="00BC586F">
        <w:trPr>
          <w:trHeight w:val="300"/>
        </w:trPr>
        <w:tc>
          <w:tcPr>
            <w:tcW w:w="2020" w:type="dxa"/>
            <w:tcBorders>
              <w:top w:val="nil"/>
              <w:left w:val="nil"/>
              <w:bottom w:val="single" w:sz="4" w:space="0" w:color="auto"/>
              <w:right w:val="nil"/>
            </w:tcBorders>
            <w:shd w:val="clear" w:color="auto" w:fill="auto"/>
            <w:noWrap/>
            <w:vAlign w:val="bottom"/>
            <w:hideMark/>
          </w:tcPr>
          <w:p w14:paraId="4718FC7D" w14:textId="77777777" w:rsidR="00001E55" w:rsidRPr="00681487" w:rsidRDefault="00001E55" w:rsidP="00BC586F">
            <w:pPr>
              <w:spacing w:after="0" w:line="240" w:lineRule="auto"/>
              <w:jc w:val="center"/>
              <w:rPr>
                <w:rFonts w:ascii="Calibri" w:eastAsia="Times New Roman" w:hAnsi="Calibri" w:cs="Calibri"/>
                <w:b/>
                <w:bCs/>
                <w:color w:val="000000"/>
              </w:rPr>
            </w:pPr>
            <w:r w:rsidRPr="00681487">
              <w:rPr>
                <w:rFonts w:ascii="Calibri" w:eastAsia="Times New Roman" w:hAnsi="Calibri" w:cs="Calibri"/>
                <w:b/>
                <w:bCs/>
                <w:color w:val="000000"/>
              </w:rPr>
              <w:t>ID</w:t>
            </w:r>
          </w:p>
        </w:tc>
        <w:tc>
          <w:tcPr>
            <w:tcW w:w="940" w:type="dxa"/>
            <w:tcBorders>
              <w:top w:val="nil"/>
              <w:left w:val="nil"/>
              <w:bottom w:val="single" w:sz="4" w:space="0" w:color="auto"/>
              <w:right w:val="nil"/>
            </w:tcBorders>
            <w:shd w:val="clear" w:color="auto" w:fill="auto"/>
            <w:noWrap/>
            <w:vAlign w:val="bottom"/>
            <w:hideMark/>
          </w:tcPr>
          <w:p w14:paraId="249B266C" w14:textId="77777777" w:rsidR="00001E55" w:rsidRPr="00681487" w:rsidRDefault="00001E55" w:rsidP="00BC586F">
            <w:pPr>
              <w:spacing w:after="0" w:line="240" w:lineRule="auto"/>
              <w:jc w:val="center"/>
              <w:rPr>
                <w:rFonts w:ascii="Calibri" w:eastAsia="Times New Roman" w:hAnsi="Calibri" w:cs="Calibri"/>
                <w:b/>
                <w:bCs/>
                <w:color w:val="000000"/>
              </w:rPr>
            </w:pPr>
            <w:r w:rsidRPr="00681487">
              <w:rPr>
                <w:rFonts w:ascii="Calibri" w:eastAsia="Times New Roman" w:hAnsi="Calibri" w:cs="Calibri"/>
                <w:b/>
                <w:bCs/>
                <w:color w:val="000000"/>
              </w:rPr>
              <w:t>Type</w:t>
            </w:r>
          </w:p>
        </w:tc>
        <w:tc>
          <w:tcPr>
            <w:tcW w:w="960" w:type="dxa"/>
            <w:tcBorders>
              <w:top w:val="nil"/>
              <w:left w:val="nil"/>
              <w:bottom w:val="single" w:sz="4" w:space="0" w:color="auto"/>
              <w:right w:val="nil"/>
            </w:tcBorders>
            <w:shd w:val="clear" w:color="auto" w:fill="auto"/>
            <w:noWrap/>
            <w:vAlign w:val="bottom"/>
            <w:hideMark/>
          </w:tcPr>
          <w:p w14:paraId="6F1DBCFF" w14:textId="77777777" w:rsidR="00001E55" w:rsidRPr="00681487" w:rsidRDefault="00001E55" w:rsidP="00BC586F">
            <w:pPr>
              <w:spacing w:after="0" w:line="240" w:lineRule="auto"/>
              <w:jc w:val="center"/>
              <w:rPr>
                <w:rFonts w:ascii="Calibri" w:eastAsia="Times New Roman" w:hAnsi="Calibri" w:cs="Calibri"/>
                <w:b/>
                <w:bCs/>
                <w:color w:val="000000"/>
              </w:rPr>
            </w:pPr>
            <w:r w:rsidRPr="00681487">
              <w:rPr>
                <w:rFonts w:ascii="Calibri" w:eastAsia="Times New Roman" w:hAnsi="Calibri" w:cs="Calibri"/>
                <w:b/>
                <w:bCs/>
                <w:color w:val="000000"/>
              </w:rPr>
              <w:t>age</w:t>
            </w:r>
          </w:p>
        </w:tc>
        <w:tc>
          <w:tcPr>
            <w:tcW w:w="960" w:type="dxa"/>
            <w:tcBorders>
              <w:top w:val="nil"/>
              <w:left w:val="nil"/>
              <w:bottom w:val="single" w:sz="4" w:space="0" w:color="auto"/>
              <w:right w:val="nil"/>
            </w:tcBorders>
            <w:shd w:val="clear" w:color="auto" w:fill="auto"/>
            <w:noWrap/>
            <w:vAlign w:val="bottom"/>
            <w:hideMark/>
          </w:tcPr>
          <w:p w14:paraId="62E87294" w14:textId="77777777" w:rsidR="00001E55" w:rsidRPr="00681487" w:rsidRDefault="00001E55" w:rsidP="00BC586F">
            <w:pPr>
              <w:spacing w:after="0" w:line="240" w:lineRule="auto"/>
              <w:jc w:val="center"/>
              <w:rPr>
                <w:rFonts w:ascii="Calibri" w:eastAsia="Times New Roman" w:hAnsi="Calibri" w:cs="Calibri"/>
                <w:b/>
                <w:bCs/>
                <w:color w:val="000000"/>
              </w:rPr>
            </w:pPr>
            <w:r w:rsidRPr="00681487">
              <w:rPr>
                <w:rFonts w:ascii="Calibri" w:eastAsia="Times New Roman" w:hAnsi="Calibri" w:cs="Calibri"/>
                <w:b/>
                <w:bCs/>
                <w:color w:val="000000"/>
              </w:rPr>
              <w:t>error</w:t>
            </w:r>
          </w:p>
        </w:tc>
        <w:tc>
          <w:tcPr>
            <w:tcW w:w="960" w:type="dxa"/>
            <w:tcBorders>
              <w:top w:val="nil"/>
              <w:left w:val="nil"/>
              <w:bottom w:val="single" w:sz="4" w:space="0" w:color="auto"/>
              <w:right w:val="nil"/>
            </w:tcBorders>
            <w:shd w:val="clear" w:color="auto" w:fill="auto"/>
            <w:noWrap/>
            <w:vAlign w:val="bottom"/>
            <w:hideMark/>
          </w:tcPr>
          <w:p w14:paraId="0A807FFF" w14:textId="77777777" w:rsidR="00001E55" w:rsidRPr="00681487" w:rsidRDefault="00001E55" w:rsidP="00BC586F">
            <w:pPr>
              <w:spacing w:after="0" w:line="240" w:lineRule="auto"/>
              <w:jc w:val="center"/>
              <w:rPr>
                <w:rFonts w:ascii="Calibri" w:eastAsia="Times New Roman" w:hAnsi="Calibri" w:cs="Calibri"/>
                <w:b/>
                <w:bCs/>
                <w:color w:val="000000"/>
              </w:rPr>
            </w:pPr>
            <w:r w:rsidRPr="00681487">
              <w:rPr>
                <w:rFonts w:ascii="Calibri" w:eastAsia="Times New Roman" w:hAnsi="Calibri" w:cs="Calibri"/>
                <w:b/>
                <w:bCs/>
                <w:color w:val="000000"/>
              </w:rPr>
              <w:t>depth</w:t>
            </w:r>
          </w:p>
        </w:tc>
      </w:tr>
      <w:tr w:rsidR="00001E55" w:rsidRPr="00681487" w14:paraId="4C6ADCBA" w14:textId="77777777" w:rsidTr="00BC586F">
        <w:trPr>
          <w:trHeight w:val="300"/>
        </w:trPr>
        <w:tc>
          <w:tcPr>
            <w:tcW w:w="2020" w:type="dxa"/>
            <w:tcBorders>
              <w:top w:val="nil"/>
              <w:left w:val="nil"/>
              <w:bottom w:val="nil"/>
              <w:right w:val="nil"/>
            </w:tcBorders>
            <w:shd w:val="clear" w:color="auto" w:fill="auto"/>
            <w:noWrap/>
            <w:vAlign w:val="bottom"/>
            <w:hideMark/>
          </w:tcPr>
          <w:p w14:paraId="67019994"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Turk10-46P-6.5</w:t>
            </w:r>
          </w:p>
        </w:tc>
        <w:tc>
          <w:tcPr>
            <w:tcW w:w="940" w:type="dxa"/>
            <w:tcBorders>
              <w:top w:val="nil"/>
              <w:left w:val="nil"/>
              <w:bottom w:val="nil"/>
              <w:right w:val="nil"/>
            </w:tcBorders>
            <w:shd w:val="clear" w:color="auto" w:fill="auto"/>
            <w:noWrap/>
            <w:vAlign w:val="bottom"/>
            <w:hideMark/>
          </w:tcPr>
          <w:p w14:paraId="436DB2A2"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M</w:t>
            </w:r>
          </w:p>
        </w:tc>
        <w:tc>
          <w:tcPr>
            <w:tcW w:w="960" w:type="dxa"/>
            <w:tcBorders>
              <w:top w:val="nil"/>
              <w:left w:val="nil"/>
              <w:bottom w:val="nil"/>
              <w:right w:val="nil"/>
            </w:tcBorders>
            <w:shd w:val="clear" w:color="auto" w:fill="auto"/>
            <w:noWrap/>
            <w:vAlign w:val="bottom"/>
            <w:hideMark/>
          </w:tcPr>
          <w:p w14:paraId="626AD1F5"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1445</w:t>
            </w:r>
          </w:p>
        </w:tc>
        <w:tc>
          <w:tcPr>
            <w:tcW w:w="960" w:type="dxa"/>
            <w:tcBorders>
              <w:top w:val="nil"/>
              <w:left w:val="nil"/>
              <w:bottom w:val="nil"/>
              <w:right w:val="nil"/>
            </w:tcBorders>
            <w:shd w:val="clear" w:color="auto" w:fill="auto"/>
            <w:noWrap/>
            <w:vAlign w:val="bottom"/>
            <w:hideMark/>
          </w:tcPr>
          <w:p w14:paraId="37058D6E"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80</w:t>
            </w:r>
          </w:p>
        </w:tc>
        <w:tc>
          <w:tcPr>
            <w:tcW w:w="960" w:type="dxa"/>
            <w:tcBorders>
              <w:top w:val="nil"/>
              <w:left w:val="nil"/>
              <w:bottom w:val="nil"/>
              <w:right w:val="nil"/>
            </w:tcBorders>
            <w:shd w:val="clear" w:color="auto" w:fill="auto"/>
            <w:noWrap/>
            <w:vAlign w:val="bottom"/>
            <w:hideMark/>
          </w:tcPr>
          <w:p w14:paraId="6B0F7E3D"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6.5</w:t>
            </w:r>
          </w:p>
        </w:tc>
      </w:tr>
      <w:tr w:rsidR="00001E55" w:rsidRPr="00681487" w14:paraId="26ABE1DE" w14:textId="77777777" w:rsidTr="00BC586F">
        <w:trPr>
          <w:trHeight w:val="300"/>
        </w:trPr>
        <w:tc>
          <w:tcPr>
            <w:tcW w:w="2020" w:type="dxa"/>
            <w:tcBorders>
              <w:top w:val="nil"/>
              <w:left w:val="nil"/>
              <w:bottom w:val="nil"/>
              <w:right w:val="nil"/>
            </w:tcBorders>
            <w:shd w:val="clear" w:color="auto" w:fill="auto"/>
            <w:noWrap/>
            <w:vAlign w:val="bottom"/>
            <w:hideMark/>
          </w:tcPr>
          <w:p w14:paraId="3AA29B12"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Turk10-46P-152.5</w:t>
            </w:r>
          </w:p>
        </w:tc>
        <w:tc>
          <w:tcPr>
            <w:tcW w:w="940" w:type="dxa"/>
            <w:tcBorders>
              <w:top w:val="nil"/>
              <w:left w:val="nil"/>
              <w:bottom w:val="nil"/>
              <w:right w:val="nil"/>
            </w:tcBorders>
            <w:shd w:val="clear" w:color="auto" w:fill="auto"/>
            <w:noWrap/>
            <w:vAlign w:val="bottom"/>
            <w:hideMark/>
          </w:tcPr>
          <w:p w14:paraId="0B23D0AB"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OM</w:t>
            </w:r>
          </w:p>
        </w:tc>
        <w:tc>
          <w:tcPr>
            <w:tcW w:w="960" w:type="dxa"/>
            <w:tcBorders>
              <w:top w:val="nil"/>
              <w:left w:val="nil"/>
              <w:bottom w:val="nil"/>
              <w:right w:val="nil"/>
            </w:tcBorders>
            <w:shd w:val="clear" w:color="auto" w:fill="auto"/>
            <w:noWrap/>
            <w:vAlign w:val="bottom"/>
            <w:hideMark/>
          </w:tcPr>
          <w:p w14:paraId="7808DC67"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6031</w:t>
            </w:r>
          </w:p>
        </w:tc>
        <w:tc>
          <w:tcPr>
            <w:tcW w:w="960" w:type="dxa"/>
            <w:tcBorders>
              <w:top w:val="nil"/>
              <w:left w:val="nil"/>
              <w:bottom w:val="nil"/>
              <w:right w:val="nil"/>
            </w:tcBorders>
            <w:shd w:val="clear" w:color="auto" w:fill="auto"/>
            <w:noWrap/>
            <w:vAlign w:val="bottom"/>
            <w:hideMark/>
          </w:tcPr>
          <w:p w14:paraId="06FC42AC"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77</w:t>
            </w:r>
          </w:p>
        </w:tc>
        <w:tc>
          <w:tcPr>
            <w:tcW w:w="960" w:type="dxa"/>
            <w:tcBorders>
              <w:top w:val="nil"/>
              <w:left w:val="nil"/>
              <w:bottom w:val="nil"/>
              <w:right w:val="nil"/>
            </w:tcBorders>
            <w:shd w:val="clear" w:color="auto" w:fill="auto"/>
            <w:noWrap/>
            <w:vAlign w:val="bottom"/>
            <w:hideMark/>
          </w:tcPr>
          <w:p w14:paraId="16967FA7"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152.5</w:t>
            </w:r>
          </w:p>
        </w:tc>
      </w:tr>
      <w:tr w:rsidR="00001E55" w:rsidRPr="00681487" w14:paraId="2EE4647B" w14:textId="77777777" w:rsidTr="00BC586F">
        <w:trPr>
          <w:trHeight w:val="300"/>
        </w:trPr>
        <w:tc>
          <w:tcPr>
            <w:tcW w:w="2020" w:type="dxa"/>
            <w:tcBorders>
              <w:top w:val="nil"/>
              <w:left w:val="nil"/>
              <w:bottom w:val="nil"/>
              <w:right w:val="nil"/>
            </w:tcBorders>
            <w:shd w:val="clear" w:color="auto" w:fill="auto"/>
            <w:noWrap/>
            <w:vAlign w:val="bottom"/>
            <w:hideMark/>
          </w:tcPr>
          <w:p w14:paraId="2B04BDF8"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Turk10-46P-228</w:t>
            </w:r>
          </w:p>
        </w:tc>
        <w:tc>
          <w:tcPr>
            <w:tcW w:w="940" w:type="dxa"/>
            <w:tcBorders>
              <w:top w:val="nil"/>
              <w:left w:val="nil"/>
              <w:bottom w:val="nil"/>
              <w:right w:val="nil"/>
            </w:tcBorders>
            <w:shd w:val="clear" w:color="auto" w:fill="auto"/>
            <w:noWrap/>
            <w:vAlign w:val="bottom"/>
            <w:hideMark/>
          </w:tcPr>
          <w:p w14:paraId="6FF88F09"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OM</w:t>
            </w:r>
          </w:p>
        </w:tc>
        <w:tc>
          <w:tcPr>
            <w:tcW w:w="960" w:type="dxa"/>
            <w:tcBorders>
              <w:top w:val="nil"/>
              <w:left w:val="nil"/>
              <w:bottom w:val="nil"/>
              <w:right w:val="nil"/>
            </w:tcBorders>
            <w:shd w:val="clear" w:color="auto" w:fill="auto"/>
            <w:noWrap/>
            <w:vAlign w:val="bottom"/>
            <w:hideMark/>
          </w:tcPr>
          <w:p w14:paraId="2D943219"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5960</w:t>
            </w:r>
          </w:p>
        </w:tc>
        <w:tc>
          <w:tcPr>
            <w:tcW w:w="960" w:type="dxa"/>
            <w:tcBorders>
              <w:top w:val="nil"/>
              <w:left w:val="nil"/>
              <w:bottom w:val="nil"/>
              <w:right w:val="nil"/>
            </w:tcBorders>
            <w:shd w:val="clear" w:color="auto" w:fill="auto"/>
            <w:noWrap/>
            <w:vAlign w:val="bottom"/>
            <w:hideMark/>
          </w:tcPr>
          <w:p w14:paraId="2952BD3A"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42</w:t>
            </w:r>
          </w:p>
        </w:tc>
        <w:tc>
          <w:tcPr>
            <w:tcW w:w="960" w:type="dxa"/>
            <w:tcBorders>
              <w:top w:val="nil"/>
              <w:left w:val="nil"/>
              <w:bottom w:val="nil"/>
              <w:right w:val="nil"/>
            </w:tcBorders>
            <w:shd w:val="clear" w:color="auto" w:fill="auto"/>
            <w:noWrap/>
            <w:vAlign w:val="bottom"/>
            <w:hideMark/>
          </w:tcPr>
          <w:p w14:paraId="6632333C"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228</w:t>
            </w:r>
          </w:p>
        </w:tc>
      </w:tr>
      <w:tr w:rsidR="00001E55" w:rsidRPr="00681487" w14:paraId="5C064236" w14:textId="77777777" w:rsidTr="00BC586F">
        <w:trPr>
          <w:trHeight w:val="300"/>
        </w:trPr>
        <w:tc>
          <w:tcPr>
            <w:tcW w:w="2020" w:type="dxa"/>
            <w:tcBorders>
              <w:top w:val="nil"/>
              <w:left w:val="nil"/>
              <w:bottom w:val="nil"/>
              <w:right w:val="nil"/>
            </w:tcBorders>
            <w:shd w:val="clear" w:color="auto" w:fill="auto"/>
            <w:noWrap/>
            <w:vAlign w:val="bottom"/>
            <w:hideMark/>
          </w:tcPr>
          <w:p w14:paraId="0AEF9ACE"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Turk10-46P-343</w:t>
            </w:r>
          </w:p>
        </w:tc>
        <w:tc>
          <w:tcPr>
            <w:tcW w:w="940" w:type="dxa"/>
            <w:tcBorders>
              <w:top w:val="nil"/>
              <w:left w:val="nil"/>
              <w:bottom w:val="nil"/>
              <w:right w:val="nil"/>
            </w:tcBorders>
            <w:shd w:val="clear" w:color="auto" w:fill="auto"/>
            <w:noWrap/>
            <w:vAlign w:val="bottom"/>
            <w:hideMark/>
          </w:tcPr>
          <w:p w14:paraId="25127554"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OM</w:t>
            </w:r>
          </w:p>
        </w:tc>
        <w:tc>
          <w:tcPr>
            <w:tcW w:w="960" w:type="dxa"/>
            <w:tcBorders>
              <w:top w:val="nil"/>
              <w:left w:val="nil"/>
              <w:bottom w:val="nil"/>
              <w:right w:val="nil"/>
            </w:tcBorders>
            <w:shd w:val="clear" w:color="auto" w:fill="auto"/>
            <w:noWrap/>
            <w:vAlign w:val="bottom"/>
            <w:hideMark/>
          </w:tcPr>
          <w:p w14:paraId="502BDC99"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6723</w:t>
            </w:r>
          </w:p>
        </w:tc>
        <w:tc>
          <w:tcPr>
            <w:tcW w:w="960" w:type="dxa"/>
            <w:tcBorders>
              <w:top w:val="nil"/>
              <w:left w:val="nil"/>
              <w:bottom w:val="nil"/>
              <w:right w:val="nil"/>
            </w:tcBorders>
            <w:shd w:val="clear" w:color="auto" w:fill="auto"/>
            <w:noWrap/>
            <w:vAlign w:val="bottom"/>
            <w:hideMark/>
          </w:tcPr>
          <w:p w14:paraId="3DBAC58E"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84</w:t>
            </w:r>
          </w:p>
        </w:tc>
        <w:tc>
          <w:tcPr>
            <w:tcW w:w="960" w:type="dxa"/>
            <w:tcBorders>
              <w:top w:val="nil"/>
              <w:left w:val="nil"/>
              <w:bottom w:val="nil"/>
              <w:right w:val="nil"/>
            </w:tcBorders>
            <w:shd w:val="clear" w:color="auto" w:fill="auto"/>
            <w:noWrap/>
            <w:vAlign w:val="bottom"/>
            <w:hideMark/>
          </w:tcPr>
          <w:p w14:paraId="4139A89C"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343</w:t>
            </w:r>
          </w:p>
        </w:tc>
      </w:tr>
      <w:tr w:rsidR="00001E55" w:rsidRPr="00681487" w14:paraId="478246A0" w14:textId="77777777" w:rsidTr="00BC586F">
        <w:trPr>
          <w:trHeight w:val="300"/>
        </w:trPr>
        <w:tc>
          <w:tcPr>
            <w:tcW w:w="2020" w:type="dxa"/>
            <w:tcBorders>
              <w:top w:val="nil"/>
              <w:left w:val="nil"/>
              <w:bottom w:val="nil"/>
              <w:right w:val="nil"/>
            </w:tcBorders>
            <w:shd w:val="clear" w:color="auto" w:fill="auto"/>
            <w:noWrap/>
            <w:vAlign w:val="bottom"/>
            <w:hideMark/>
          </w:tcPr>
          <w:p w14:paraId="7726EDC7"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Turk10-46P-501.5</w:t>
            </w:r>
          </w:p>
        </w:tc>
        <w:tc>
          <w:tcPr>
            <w:tcW w:w="940" w:type="dxa"/>
            <w:tcBorders>
              <w:top w:val="nil"/>
              <w:left w:val="nil"/>
              <w:bottom w:val="nil"/>
              <w:right w:val="nil"/>
            </w:tcBorders>
            <w:shd w:val="clear" w:color="auto" w:fill="auto"/>
            <w:noWrap/>
            <w:vAlign w:val="bottom"/>
            <w:hideMark/>
          </w:tcPr>
          <w:p w14:paraId="2B7CD52B"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M</w:t>
            </w:r>
          </w:p>
        </w:tc>
        <w:tc>
          <w:tcPr>
            <w:tcW w:w="960" w:type="dxa"/>
            <w:tcBorders>
              <w:top w:val="nil"/>
              <w:left w:val="nil"/>
              <w:bottom w:val="nil"/>
              <w:right w:val="nil"/>
            </w:tcBorders>
            <w:shd w:val="clear" w:color="auto" w:fill="auto"/>
            <w:noWrap/>
            <w:vAlign w:val="bottom"/>
            <w:hideMark/>
          </w:tcPr>
          <w:p w14:paraId="6F0A9F6C"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7819</w:t>
            </w:r>
          </w:p>
        </w:tc>
        <w:tc>
          <w:tcPr>
            <w:tcW w:w="960" w:type="dxa"/>
            <w:tcBorders>
              <w:top w:val="nil"/>
              <w:left w:val="nil"/>
              <w:bottom w:val="nil"/>
              <w:right w:val="nil"/>
            </w:tcBorders>
            <w:shd w:val="clear" w:color="auto" w:fill="auto"/>
            <w:noWrap/>
            <w:vAlign w:val="bottom"/>
            <w:hideMark/>
          </w:tcPr>
          <w:p w14:paraId="0592D30C"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155.5</w:t>
            </w:r>
          </w:p>
        </w:tc>
        <w:tc>
          <w:tcPr>
            <w:tcW w:w="960" w:type="dxa"/>
            <w:tcBorders>
              <w:top w:val="nil"/>
              <w:left w:val="nil"/>
              <w:bottom w:val="nil"/>
              <w:right w:val="nil"/>
            </w:tcBorders>
            <w:shd w:val="clear" w:color="auto" w:fill="auto"/>
            <w:noWrap/>
            <w:vAlign w:val="bottom"/>
            <w:hideMark/>
          </w:tcPr>
          <w:p w14:paraId="6CB71A8B"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501.5</w:t>
            </w:r>
          </w:p>
        </w:tc>
      </w:tr>
      <w:tr w:rsidR="00001E55" w:rsidRPr="00681487" w14:paraId="6A932FAE" w14:textId="77777777" w:rsidTr="00BC586F">
        <w:trPr>
          <w:trHeight w:val="300"/>
        </w:trPr>
        <w:tc>
          <w:tcPr>
            <w:tcW w:w="2020" w:type="dxa"/>
            <w:tcBorders>
              <w:top w:val="nil"/>
              <w:left w:val="nil"/>
              <w:bottom w:val="nil"/>
              <w:right w:val="nil"/>
            </w:tcBorders>
            <w:shd w:val="clear" w:color="auto" w:fill="auto"/>
            <w:noWrap/>
            <w:vAlign w:val="bottom"/>
            <w:hideMark/>
          </w:tcPr>
          <w:p w14:paraId="6BDC32FA"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Turk10-46P-556.5</w:t>
            </w:r>
          </w:p>
        </w:tc>
        <w:tc>
          <w:tcPr>
            <w:tcW w:w="940" w:type="dxa"/>
            <w:tcBorders>
              <w:top w:val="nil"/>
              <w:left w:val="nil"/>
              <w:bottom w:val="nil"/>
              <w:right w:val="nil"/>
            </w:tcBorders>
            <w:shd w:val="clear" w:color="auto" w:fill="auto"/>
            <w:noWrap/>
            <w:vAlign w:val="bottom"/>
            <w:hideMark/>
          </w:tcPr>
          <w:p w14:paraId="799C8C44"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OM</w:t>
            </w:r>
          </w:p>
        </w:tc>
        <w:tc>
          <w:tcPr>
            <w:tcW w:w="960" w:type="dxa"/>
            <w:tcBorders>
              <w:top w:val="nil"/>
              <w:left w:val="nil"/>
              <w:bottom w:val="nil"/>
              <w:right w:val="nil"/>
            </w:tcBorders>
            <w:shd w:val="clear" w:color="auto" w:fill="auto"/>
            <w:noWrap/>
            <w:vAlign w:val="bottom"/>
            <w:hideMark/>
          </w:tcPr>
          <w:p w14:paraId="05BDF8D4"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8484</w:t>
            </w:r>
          </w:p>
        </w:tc>
        <w:tc>
          <w:tcPr>
            <w:tcW w:w="960" w:type="dxa"/>
            <w:tcBorders>
              <w:top w:val="nil"/>
              <w:left w:val="nil"/>
              <w:bottom w:val="nil"/>
              <w:right w:val="nil"/>
            </w:tcBorders>
            <w:shd w:val="clear" w:color="auto" w:fill="auto"/>
            <w:noWrap/>
            <w:vAlign w:val="bottom"/>
            <w:hideMark/>
          </w:tcPr>
          <w:p w14:paraId="63FF94AF"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52</w:t>
            </w:r>
          </w:p>
        </w:tc>
        <w:tc>
          <w:tcPr>
            <w:tcW w:w="960" w:type="dxa"/>
            <w:tcBorders>
              <w:top w:val="nil"/>
              <w:left w:val="nil"/>
              <w:bottom w:val="nil"/>
              <w:right w:val="nil"/>
            </w:tcBorders>
            <w:shd w:val="clear" w:color="auto" w:fill="auto"/>
            <w:noWrap/>
            <w:vAlign w:val="bottom"/>
            <w:hideMark/>
          </w:tcPr>
          <w:p w14:paraId="5EF7FC34"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556.5</w:t>
            </w:r>
          </w:p>
        </w:tc>
      </w:tr>
      <w:tr w:rsidR="00001E55" w:rsidRPr="00681487" w14:paraId="45CF3858" w14:textId="77777777" w:rsidTr="00BC586F">
        <w:trPr>
          <w:trHeight w:val="300"/>
        </w:trPr>
        <w:tc>
          <w:tcPr>
            <w:tcW w:w="2020" w:type="dxa"/>
            <w:tcBorders>
              <w:top w:val="nil"/>
              <w:left w:val="nil"/>
              <w:bottom w:val="nil"/>
              <w:right w:val="nil"/>
            </w:tcBorders>
            <w:shd w:val="clear" w:color="auto" w:fill="auto"/>
            <w:noWrap/>
            <w:vAlign w:val="bottom"/>
            <w:hideMark/>
          </w:tcPr>
          <w:p w14:paraId="2B99096B"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Turk10-46P-647.5</w:t>
            </w:r>
          </w:p>
        </w:tc>
        <w:tc>
          <w:tcPr>
            <w:tcW w:w="940" w:type="dxa"/>
            <w:tcBorders>
              <w:top w:val="nil"/>
              <w:left w:val="nil"/>
              <w:bottom w:val="nil"/>
              <w:right w:val="nil"/>
            </w:tcBorders>
            <w:shd w:val="clear" w:color="auto" w:fill="auto"/>
            <w:noWrap/>
            <w:vAlign w:val="bottom"/>
            <w:hideMark/>
          </w:tcPr>
          <w:p w14:paraId="290B143B"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M</w:t>
            </w:r>
          </w:p>
        </w:tc>
        <w:tc>
          <w:tcPr>
            <w:tcW w:w="960" w:type="dxa"/>
            <w:tcBorders>
              <w:top w:val="nil"/>
              <w:left w:val="nil"/>
              <w:bottom w:val="nil"/>
              <w:right w:val="nil"/>
            </w:tcBorders>
            <w:shd w:val="clear" w:color="auto" w:fill="auto"/>
            <w:noWrap/>
            <w:vAlign w:val="bottom"/>
            <w:hideMark/>
          </w:tcPr>
          <w:p w14:paraId="2913E46A"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10,470</w:t>
            </w:r>
          </w:p>
        </w:tc>
        <w:tc>
          <w:tcPr>
            <w:tcW w:w="960" w:type="dxa"/>
            <w:tcBorders>
              <w:top w:val="nil"/>
              <w:left w:val="nil"/>
              <w:bottom w:val="nil"/>
              <w:right w:val="nil"/>
            </w:tcBorders>
            <w:shd w:val="clear" w:color="auto" w:fill="auto"/>
            <w:noWrap/>
            <w:vAlign w:val="bottom"/>
            <w:hideMark/>
          </w:tcPr>
          <w:p w14:paraId="7B2E8D32"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316</w:t>
            </w:r>
          </w:p>
        </w:tc>
        <w:tc>
          <w:tcPr>
            <w:tcW w:w="960" w:type="dxa"/>
            <w:tcBorders>
              <w:top w:val="nil"/>
              <w:left w:val="nil"/>
              <w:bottom w:val="nil"/>
              <w:right w:val="nil"/>
            </w:tcBorders>
            <w:shd w:val="clear" w:color="auto" w:fill="auto"/>
            <w:noWrap/>
            <w:vAlign w:val="bottom"/>
            <w:hideMark/>
          </w:tcPr>
          <w:p w14:paraId="43EBBD70"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647.5</w:t>
            </w:r>
          </w:p>
        </w:tc>
      </w:tr>
      <w:tr w:rsidR="00001E55" w:rsidRPr="00681487" w14:paraId="26D4D0C3" w14:textId="77777777" w:rsidTr="00BC586F">
        <w:trPr>
          <w:trHeight w:val="300"/>
        </w:trPr>
        <w:tc>
          <w:tcPr>
            <w:tcW w:w="2020" w:type="dxa"/>
            <w:tcBorders>
              <w:top w:val="nil"/>
              <w:left w:val="nil"/>
              <w:bottom w:val="nil"/>
              <w:right w:val="nil"/>
            </w:tcBorders>
            <w:shd w:val="clear" w:color="auto" w:fill="auto"/>
            <w:noWrap/>
            <w:vAlign w:val="bottom"/>
            <w:hideMark/>
          </w:tcPr>
          <w:p w14:paraId="39B16CD3"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Turk10-46P-666.5</w:t>
            </w:r>
          </w:p>
        </w:tc>
        <w:tc>
          <w:tcPr>
            <w:tcW w:w="940" w:type="dxa"/>
            <w:tcBorders>
              <w:top w:val="nil"/>
              <w:left w:val="nil"/>
              <w:bottom w:val="nil"/>
              <w:right w:val="nil"/>
            </w:tcBorders>
            <w:shd w:val="clear" w:color="auto" w:fill="auto"/>
            <w:noWrap/>
            <w:vAlign w:val="bottom"/>
            <w:hideMark/>
          </w:tcPr>
          <w:p w14:paraId="66A8A0DC"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M</w:t>
            </w:r>
          </w:p>
        </w:tc>
        <w:tc>
          <w:tcPr>
            <w:tcW w:w="960" w:type="dxa"/>
            <w:tcBorders>
              <w:top w:val="nil"/>
              <w:left w:val="nil"/>
              <w:bottom w:val="nil"/>
              <w:right w:val="nil"/>
            </w:tcBorders>
            <w:shd w:val="clear" w:color="auto" w:fill="auto"/>
            <w:noWrap/>
            <w:vAlign w:val="bottom"/>
            <w:hideMark/>
          </w:tcPr>
          <w:p w14:paraId="6E2FF953"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10,170</w:t>
            </w:r>
          </w:p>
        </w:tc>
        <w:tc>
          <w:tcPr>
            <w:tcW w:w="960" w:type="dxa"/>
            <w:tcBorders>
              <w:top w:val="nil"/>
              <w:left w:val="nil"/>
              <w:bottom w:val="nil"/>
              <w:right w:val="nil"/>
            </w:tcBorders>
            <w:shd w:val="clear" w:color="auto" w:fill="auto"/>
            <w:noWrap/>
            <w:vAlign w:val="bottom"/>
            <w:hideMark/>
          </w:tcPr>
          <w:p w14:paraId="417CEA73"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410.5</w:t>
            </w:r>
          </w:p>
        </w:tc>
        <w:tc>
          <w:tcPr>
            <w:tcW w:w="960" w:type="dxa"/>
            <w:tcBorders>
              <w:top w:val="nil"/>
              <w:left w:val="nil"/>
              <w:bottom w:val="nil"/>
              <w:right w:val="nil"/>
            </w:tcBorders>
            <w:shd w:val="clear" w:color="auto" w:fill="auto"/>
            <w:noWrap/>
            <w:vAlign w:val="bottom"/>
            <w:hideMark/>
          </w:tcPr>
          <w:p w14:paraId="703B1D02"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666.5</w:t>
            </w:r>
          </w:p>
        </w:tc>
      </w:tr>
      <w:tr w:rsidR="00001E55" w:rsidRPr="00681487" w14:paraId="038E718A" w14:textId="77777777" w:rsidTr="00BC586F">
        <w:trPr>
          <w:trHeight w:val="300"/>
        </w:trPr>
        <w:tc>
          <w:tcPr>
            <w:tcW w:w="2020" w:type="dxa"/>
            <w:tcBorders>
              <w:top w:val="nil"/>
              <w:left w:val="nil"/>
              <w:bottom w:val="nil"/>
              <w:right w:val="nil"/>
            </w:tcBorders>
            <w:shd w:val="clear" w:color="auto" w:fill="auto"/>
            <w:noWrap/>
            <w:vAlign w:val="bottom"/>
            <w:hideMark/>
          </w:tcPr>
          <w:p w14:paraId="4D598635"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Turk10-46P-733.5</w:t>
            </w:r>
          </w:p>
        </w:tc>
        <w:tc>
          <w:tcPr>
            <w:tcW w:w="940" w:type="dxa"/>
            <w:tcBorders>
              <w:top w:val="nil"/>
              <w:left w:val="nil"/>
              <w:bottom w:val="nil"/>
              <w:right w:val="nil"/>
            </w:tcBorders>
            <w:shd w:val="clear" w:color="auto" w:fill="auto"/>
            <w:noWrap/>
            <w:vAlign w:val="bottom"/>
            <w:hideMark/>
          </w:tcPr>
          <w:p w14:paraId="7E7E7006"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GS</w:t>
            </w:r>
          </w:p>
        </w:tc>
        <w:tc>
          <w:tcPr>
            <w:tcW w:w="960" w:type="dxa"/>
            <w:tcBorders>
              <w:top w:val="nil"/>
              <w:left w:val="nil"/>
              <w:bottom w:val="nil"/>
              <w:right w:val="nil"/>
            </w:tcBorders>
            <w:shd w:val="clear" w:color="auto" w:fill="auto"/>
            <w:noWrap/>
            <w:vAlign w:val="bottom"/>
            <w:hideMark/>
          </w:tcPr>
          <w:p w14:paraId="539C8F0A"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12,234</w:t>
            </w:r>
          </w:p>
        </w:tc>
        <w:tc>
          <w:tcPr>
            <w:tcW w:w="960" w:type="dxa"/>
            <w:tcBorders>
              <w:top w:val="nil"/>
              <w:left w:val="nil"/>
              <w:bottom w:val="nil"/>
              <w:right w:val="nil"/>
            </w:tcBorders>
            <w:shd w:val="clear" w:color="auto" w:fill="auto"/>
            <w:noWrap/>
            <w:vAlign w:val="bottom"/>
            <w:hideMark/>
          </w:tcPr>
          <w:p w14:paraId="38284C06"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184</w:t>
            </w:r>
          </w:p>
        </w:tc>
        <w:tc>
          <w:tcPr>
            <w:tcW w:w="960" w:type="dxa"/>
            <w:tcBorders>
              <w:top w:val="nil"/>
              <w:left w:val="nil"/>
              <w:bottom w:val="nil"/>
              <w:right w:val="nil"/>
            </w:tcBorders>
            <w:shd w:val="clear" w:color="auto" w:fill="auto"/>
            <w:noWrap/>
            <w:vAlign w:val="bottom"/>
            <w:hideMark/>
          </w:tcPr>
          <w:p w14:paraId="7CF95067"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733.5</w:t>
            </w:r>
          </w:p>
        </w:tc>
      </w:tr>
      <w:tr w:rsidR="00001E55" w:rsidRPr="00681487" w14:paraId="3332D4A4" w14:textId="77777777" w:rsidTr="00BC586F">
        <w:trPr>
          <w:trHeight w:val="300"/>
        </w:trPr>
        <w:tc>
          <w:tcPr>
            <w:tcW w:w="2020" w:type="dxa"/>
            <w:tcBorders>
              <w:top w:val="nil"/>
              <w:left w:val="nil"/>
              <w:bottom w:val="nil"/>
              <w:right w:val="nil"/>
            </w:tcBorders>
            <w:shd w:val="clear" w:color="auto" w:fill="auto"/>
            <w:noWrap/>
            <w:vAlign w:val="bottom"/>
            <w:hideMark/>
          </w:tcPr>
          <w:p w14:paraId="0AA660D3"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Turk10-46P-828</w:t>
            </w:r>
          </w:p>
        </w:tc>
        <w:tc>
          <w:tcPr>
            <w:tcW w:w="940" w:type="dxa"/>
            <w:tcBorders>
              <w:top w:val="nil"/>
              <w:left w:val="nil"/>
              <w:bottom w:val="nil"/>
              <w:right w:val="nil"/>
            </w:tcBorders>
            <w:shd w:val="clear" w:color="auto" w:fill="auto"/>
            <w:noWrap/>
            <w:vAlign w:val="bottom"/>
            <w:hideMark/>
          </w:tcPr>
          <w:p w14:paraId="2BDD4024"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OM</w:t>
            </w:r>
          </w:p>
        </w:tc>
        <w:tc>
          <w:tcPr>
            <w:tcW w:w="960" w:type="dxa"/>
            <w:tcBorders>
              <w:top w:val="nil"/>
              <w:left w:val="nil"/>
              <w:bottom w:val="nil"/>
              <w:right w:val="nil"/>
            </w:tcBorders>
            <w:shd w:val="clear" w:color="auto" w:fill="auto"/>
            <w:noWrap/>
            <w:vAlign w:val="bottom"/>
            <w:hideMark/>
          </w:tcPr>
          <w:p w14:paraId="61F27579"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13,350</w:t>
            </w:r>
          </w:p>
        </w:tc>
        <w:tc>
          <w:tcPr>
            <w:tcW w:w="960" w:type="dxa"/>
            <w:tcBorders>
              <w:top w:val="nil"/>
              <w:left w:val="nil"/>
              <w:bottom w:val="nil"/>
              <w:right w:val="nil"/>
            </w:tcBorders>
            <w:shd w:val="clear" w:color="auto" w:fill="auto"/>
            <w:noWrap/>
            <w:vAlign w:val="bottom"/>
            <w:hideMark/>
          </w:tcPr>
          <w:p w14:paraId="2D919F57"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127</w:t>
            </w:r>
          </w:p>
        </w:tc>
        <w:tc>
          <w:tcPr>
            <w:tcW w:w="960" w:type="dxa"/>
            <w:tcBorders>
              <w:top w:val="nil"/>
              <w:left w:val="nil"/>
              <w:bottom w:val="nil"/>
              <w:right w:val="nil"/>
            </w:tcBorders>
            <w:shd w:val="clear" w:color="auto" w:fill="auto"/>
            <w:noWrap/>
            <w:vAlign w:val="bottom"/>
            <w:hideMark/>
          </w:tcPr>
          <w:p w14:paraId="469A9429"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828</w:t>
            </w:r>
          </w:p>
        </w:tc>
      </w:tr>
      <w:tr w:rsidR="00001E55" w:rsidRPr="00681487" w14:paraId="3C529B69" w14:textId="77777777" w:rsidTr="00BC586F">
        <w:trPr>
          <w:trHeight w:val="300"/>
        </w:trPr>
        <w:tc>
          <w:tcPr>
            <w:tcW w:w="2020" w:type="dxa"/>
            <w:tcBorders>
              <w:top w:val="nil"/>
              <w:left w:val="nil"/>
              <w:bottom w:val="nil"/>
              <w:right w:val="nil"/>
            </w:tcBorders>
            <w:shd w:val="clear" w:color="auto" w:fill="auto"/>
            <w:noWrap/>
            <w:vAlign w:val="bottom"/>
            <w:hideMark/>
          </w:tcPr>
          <w:p w14:paraId="4014790F"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Turk10-46P-849</w:t>
            </w:r>
          </w:p>
        </w:tc>
        <w:tc>
          <w:tcPr>
            <w:tcW w:w="940" w:type="dxa"/>
            <w:tcBorders>
              <w:top w:val="nil"/>
              <w:left w:val="nil"/>
              <w:bottom w:val="nil"/>
              <w:right w:val="nil"/>
            </w:tcBorders>
            <w:shd w:val="clear" w:color="auto" w:fill="auto"/>
            <w:noWrap/>
            <w:vAlign w:val="bottom"/>
            <w:hideMark/>
          </w:tcPr>
          <w:p w14:paraId="6C751A59"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OS</w:t>
            </w:r>
          </w:p>
        </w:tc>
        <w:tc>
          <w:tcPr>
            <w:tcW w:w="960" w:type="dxa"/>
            <w:tcBorders>
              <w:top w:val="nil"/>
              <w:left w:val="nil"/>
              <w:bottom w:val="nil"/>
              <w:right w:val="nil"/>
            </w:tcBorders>
            <w:shd w:val="clear" w:color="auto" w:fill="auto"/>
            <w:noWrap/>
            <w:vAlign w:val="bottom"/>
            <w:hideMark/>
          </w:tcPr>
          <w:p w14:paraId="6380C9BB"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14,800</w:t>
            </w:r>
          </w:p>
        </w:tc>
        <w:tc>
          <w:tcPr>
            <w:tcW w:w="960" w:type="dxa"/>
            <w:tcBorders>
              <w:top w:val="nil"/>
              <w:left w:val="nil"/>
              <w:bottom w:val="nil"/>
              <w:right w:val="nil"/>
            </w:tcBorders>
            <w:shd w:val="clear" w:color="auto" w:fill="auto"/>
            <w:noWrap/>
            <w:vAlign w:val="bottom"/>
            <w:hideMark/>
          </w:tcPr>
          <w:p w14:paraId="5EC7FF72"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302</w:t>
            </w:r>
          </w:p>
        </w:tc>
        <w:tc>
          <w:tcPr>
            <w:tcW w:w="960" w:type="dxa"/>
            <w:tcBorders>
              <w:top w:val="nil"/>
              <w:left w:val="nil"/>
              <w:bottom w:val="nil"/>
              <w:right w:val="nil"/>
            </w:tcBorders>
            <w:shd w:val="clear" w:color="auto" w:fill="auto"/>
            <w:noWrap/>
            <w:vAlign w:val="bottom"/>
            <w:hideMark/>
          </w:tcPr>
          <w:p w14:paraId="399FA390" w14:textId="77777777" w:rsidR="00001E55" w:rsidRPr="00681487" w:rsidRDefault="00001E55" w:rsidP="00BC586F">
            <w:pPr>
              <w:spacing w:after="0" w:line="240" w:lineRule="auto"/>
              <w:jc w:val="center"/>
              <w:rPr>
                <w:rFonts w:ascii="Calibri" w:eastAsia="Times New Roman" w:hAnsi="Calibri" w:cs="Calibri"/>
                <w:color w:val="000000"/>
              </w:rPr>
            </w:pPr>
            <w:r w:rsidRPr="00681487">
              <w:rPr>
                <w:rFonts w:ascii="Calibri" w:eastAsia="Times New Roman" w:hAnsi="Calibri" w:cs="Calibri"/>
                <w:color w:val="000000"/>
              </w:rPr>
              <w:t>849</w:t>
            </w:r>
          </w:p>
        </w:tc>
      </w:tr>
    </w:tbl>
    <w:p w14:paraId="4ABB8446" w14:textId="18C4A2DE" w:rsidR="001D14BF" w:rsidRPr="00C04EC3" w:rsidRDefault="001D14BF" w:rsidP="00C04EC3"/>
    <w:sectPr w:rsidR="001D14BF" w:rsidRPr="00C04EC3" w:rsidSect="00FD181D">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96A28"/>
    <w:multiLevelType w:val="hybridMultilevel"/>
    <w:tmpl w:val="E6CA7688"/>
    <w:lvl w:ilvl="0" w:tplc="7D0A7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673"/>
    <w:rsid w:val="00001E55"/>
    <w:rsid w:val="00047039"/>
    <w:rsid w:val="000D36DB"/>
    <w:rsid w:val="000D6526"/>
    <w:rsid w:val="000E7182"/>
    <w:rsid w:val="00103C66"/>
    <w:rsid w:val="0011705A"/>
    <w:rsid w:val="001214F5"/>
    <w:rsid w:val="0013236A"/>
    <w:rsid w:val="00137AB5"/>
    <w:rsid w:val="00161C5C"/>
    <w:rsid w:val="001C5951"/>
    <w:rsid w:val="001D0431"/>
    <w:rsid w:val="001D14BF"/>
    <w:rsid w:val="001D345D"/>
    <w:rsid w:val="00217CD9"/>
    <w:rsid w:val="00224863"/>
    <w:rsid w:val="00260A16"/>
    <w:rsid w:val="002639C1"/>
    <w:rsid w:val="002C3800"/>
    <w:rsid w:val="00310A4A"/>
    <w:rsid w:val="003542DC"/>
    <w:rsid w:val="00381702"/>
    <w:rsid w:val="003B02BF"/>
    <w:rsid w:val="003E0CE3"/>
    <w:rsid w:val="004363F5"/>
    <w:rsid w:val="00455B7D"/>
    <w:rsid w:val="00507687"/>
    <w:rsid w:val="00535AE9"/>
    <w:rsid w:val="00542673"/>
    <w:rsid w:val="00543EC2"/>
    <w:rsid w:val="005560A3"/>
    <w:rsid w:val="00591644"/>
    <w:rsid w:val="005B12E1"/>
    <w:rsid w:val="005D6603"/>
    <w:rsid w:val="00633EB8"/>
    <w:rsid w:val="00673127"/>
    <w:rsid w:val="00681487"/>
    <w:rsid w:val="007154C1"/>
    <w:rsid w:val="007D04BC"/>
    <w:rsid w:val="007E6020"/>
    <w:rsid w:val="0081567A"/>
    <w:rsid w:val="00823297"/>
    <w:rsid w:val="00871F4C"/>
    <w:rsid w:val="008A47A6"/>
    <w:rsid w:val="008B415B"/>
    <w:rsid w:val="008D546E"/>
    <w:rsid w:val="00960D05"/>
    <w:rsid w:val="009B02EC"/>
    <w:rsid w:val="009B6B10"/>
    <w:rsid w:val="00AA4F67"/>
    <w:rsid w:val="00AF164F"/>
    <w:rsid w:val="00B0109E"/>
    <w:rsid w:val="00B22A18"/>
    <w:rsid w:val="00B35CD6"/>
    <w:rsid w:val="00B80F3C"/>
    <w:rsid w:val="00B971EF"/>
    <w:rsid w:val="00BA1D86"/>
    <w:rsid w:val="00BC586F"/>
    <w:rsid w:val="00C04EC3"/>
    <w:rsid w:val="00C15CED"/>
    <w:rsid w:val="00C249D4"/>
    <w:rsid w:val="00C5151B"/>
    <w:rsid w:val="00C701F5"/>
    <w:rsid w:val="00C83195"/>
    <w:rsid w:val="00CA3827"/>
    <w:rsid w:val="00CD2F85"/>
    <w:rsid w:val="00D32C73"/>
    <w:rsid w:val="00D45813"/>
    <w:rsid w:val="00D714F4"/>
    <w:rsid w:val="00D76BB9"/>
    <w:rsid w:val="00D77FD3"/>
    <w:rsid w:val="00DA5E81"/>
    <w:rsid w:val="00E16B8D"/>
    <w:rsid w:val="00EA2B24"/>
    <w:rsid w:val="00EC0156"/>
    <w:rsid w:val="00FA5EC9"/>
    <w:rsid w:val="00FC4FD0"/>
    <w:rsid w:val="00FD1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C8445"/>
  <w15:chartTrackingRefBased/>
  <w15:docId w15:val="{89AB52FB-1582-4C35-82B1-737A729A0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6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673"/>
    <w:pPr>
      <w:ind w:left="720"/>
      <w:contextualSpacing/>
    </w:pPr>
  </w:style>
  <w:style w:type="paragraph" w:styleId="BodyText">
    <w:name w:val="Body Text"/>
    <w:basedOn w:val="Normal"/>
    <w:link w:val="BodyTextChar"/>
    <w:uiPriority w:val="1"/>
    <w:qFormat/>
    <w:rsid w:val="005560A3"/>
    <w:pPr>
      <w:widowControl w:val="0"/>
      <w:autoSpaceDE w:val="0"/>
      <w:autoSpaceDN w:val="0"/>
      <w:spacing w:after="0" w:line="240" w:lineRule="auto"/>
      <w:ind w:left="21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560A3"/>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FD1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2766">
      <w:bodyDiv w:val="1"/>
      <w:marLeft w:val="0"/>
      <w:marRight w:val="0"/>
      <w:marTop w:val="0"/>
      <w:marBottom w:val="0"/>
      <w:divBdr>
        <w:top w:val="none" w:sz="0" w:space="0" w:color="auto"/>
        <w:left w:val="none" w:sz="0" w:space="0" w:color="auto"/>
        <w:bottom w:val="none" w:sz="0" w:space="0" w:color="auto"/>
        <w:right w:val="none" w:sz="0" w:space="0" w:color="auto"/>
      </w:divBdr>
    </w:div>
    <w:div w:id="466050253">
      <w:bodyDiv w:val="1"/>
      <w:marLeft w:val="0"/>
      <w:marRight w:val="0"/>
      <w:marTop w:val="0"/>
      <w:marBottom w:val="0"/>
      <w:divBdr>
        <w:top w:val="none" w:sz="0" w:space="0" w:color="auto"/>
        <w:left w:val="none" w:sz="0" w:space="0" w:color="auto"/>
        <w:bottom w:val="none" w:sz="0" w:space="0" w:color="auto"/>
        <w:right w:val="none" w:sz="0" w:space="0" w:color="auto"/>
      </w:divBdr>
    </w:div>
    <w:div w:id="1647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B4D28DC30974F8DF13AF3195573DD" ma:contentTypeVersion="16" ma:contentTypeDescription="Create a new document." ma:contentTypeScope="" ma:versionID="72899df481516be7a53056df84e0bea8">
  <xsd:schema xmlns:xsd="http://www.w3.org/2001/XMLSchema" xmlns:xs="http://www.w3.org/2001/XMLSchema" xmlns:p="http://schemas.microsoft.com/office/2006/metadata/properties" xmlns:ns2="f0cced3b-310d-45b8-97bf-d36cbbb5d34b" xmlns:ns3="991330b7-a67c-4846-8b6a-4c888ec2572d" targetNamespace="http://schemas.microsoft.com/office/2006/metadata/properties" ma:root="true" ma:fieldsID="ed1e4f25846a0b37d61afbb6619300fe" ns2:_="" ns3:_="">
    <xsd:import namespace="f0cced3b-310d-45b8-97bf-d36cbbb5d34b"/>
    <xsd:import namespace="991330b7-a67c-4846-8b6a-4c888ec257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ced3b-310d-45b8-97bf-d36cbbb5d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8c4553-6a3d-466f-a6fa-79c540e777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1330b7-a67c-4846-8b6a-4c888ec2572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d095ff-fbf3-4681-b489-412dd21143bf}" ma:internalName="TaxCatchAll" ma:showField="CatchAllData" ma:web="991330b7-a67c-4846-8b6a-4c888ec257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cced3b-310d-45b8-97bf-d36cbbb5d34b">
      <Terms xmlns="http://schemas.microsoft.com/office/infopath/2007/PartnerControls"/>
    </lcf76f155ced4ddcb4097134ff3c332f>
    <TaxCatchAll xmlns="991330b7-a67c-4846-8b6a-4c888ec2572d" xsi:nil="true"/>
  </documentManagement>
</p:properties>
</file>

<file path=customXml/itemProps1.xml><?xml version="1.0" encoding="utf-8"?>
<ds:datastoreItem xmlns:ds="http://schemas.openxmlformats.org/officeDocument/2006/customXml" ds:itemID="{3233818D-EB05-49A2-9A65-6750B45627D8}">
  <ds:schemaRefs>
    <ds:schemaRef ds:uri="http://schemas.openxmlformats.org/officeDocument/2006/bibliography"/>
  </ds:schemaRefs>
</ds:datastoreItem>
</file>

<file path=customXml/itemProps2.xml><?xml version="1.0" encoding="utf-8"?>
<ds:datastoreItem xmlns:ds="http://schemas.openxmlformats.org/officeDocument/2006/customXml" ds:itemID="{61E627FB-7ED5-432C-B18C-FA85056FCAFD}"/>
</file>

<file path=customXml/itemProps3.xml><?xml version="1.0" encoding="utf-8"?>
<ds:datastoreItem xmlns:ds="http://schemas.openxmlformats.org/officeDocument/2006/customXml" ds:itemID="{99CB8358-91F5-44FF-A294-F9CCD0B6AC87}"/>
</file>

<file path=customXml/itemProps4.xml><?xml version="1.0" encoding="utf-8"?>
<ds:datastoreItem xmlns:ds="http://schemas.openxmlformats.org/officeDocument/2006/customXml" ds:itemID="{2331FFC5-FA53-4C71-B1CE-3C77BD1BE0D4}"/>
</file>

<file path=docProps/app.xml><?xml version="1.0" encoding="utf-8"?>
<Properties xmlns="http://schemas.openxmlformats.org/officeDocument/2006/extended-properties" xmlns:vt="http://schemas.openxmlformats.org/officeDocument/2006/docPropsVTypes">
  <Template>Normal.dotm</Template>
  <TotalTime>455</TotalTime>
  <Pages>12</Pages>
  <Words>5363</Words>
  <Characters>30572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35864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 Muirhead</dc:creator>
  <cp:keywords/>
  <dc:description/>
  <cp:lastModifiedBy>James Muirhead</cp:lastModifiedBy>
  <cp:revision>7</cp:revision>
  <dcterms:created xsi:type="dcterms:W3CDTF">2019-04-14T20:40:00Z</dcterms:created>
  <dcterms:modified xsi:type="dcterms:W3CDTF">2022-03-31T02:43:00Z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http://www.zotero.org/styles/geological-society-london-special-publications</vt:lpwstr>
  </property>
  <property fmtid="{D5CDD505-2E9C-101B-9397-08002B2CF9AE}" pid="9" name="Mendeley Recent Style Name 3_1">
    <vt:lpwstr>Geological Society, London, Special Publications</vt:lpwstr>
  </property>
  <property fmtid="{D5CDD505-2E9C-101B-9397-08002B2CF9AE}" pid="10" name="Mendeley Recent Style Id 4_1">
    <vt:lpwstr>http://www.zotero.org/styles/geology</vt:lpwstr>
  </property>
  <property fmtid="{D5CDD505-2E9C-101B-9397-08002B2CF9AE}" pid="11" name="Mendeley Recent Style Name 4_1">
    <vt:lpwstr>Geology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http://www.zotero.org/styles/journal-of-geophysical-research</vt:lpwstr>
  </property>
  <property fmtid="{D5CDD505-2E9C-101B-9397-08002B2CF9AE}" pid="15" name="Mendeley Recent Style Name 6_1">
    <vt:lpwstr>Journal of Geophysical Research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43a0abf1-79f5-3787-8b19-277670008af2</vt:lpwstr>
  </property>
  <property fmtid="{D5CDD505-2E9C-101B-9397-08002B2CF9AE}" pid="24" name="Mendeley Citation Style_1">
    <vt:lpwstr>http://www.zotero.org/styles/journal-of-geophysical-research</vt:lpwstr>
  </property>
  <property fmtid="{D5CDD505-2E9C-101B-9397-08002B2CF9AE}" pid="25" name="ContentTypeId">
    <vt:lpwstr>0x0101002AAB4D28DC30974F8DF13AF3195573DD</vt:lpwstr>
  </property>
</Properties>
</file>