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2DADF" w14:textId="518D349B" w:rsidR="00BC5570" w:rsidRDefault="00B15518" w:rsidP="00710C3C">
      <w:pPr>
        <w:contextualSpacing/>
        <w:rPr>
          <w:b/>
          <w:bCs/>
        </w:rPr>
      </w:pPr>
      <w:bookmarkStart w:id="0" w:name="_GoBack"/>
      <w:r>
        <w:rPr>
          <w:b/>
          <w:bCs/>
        </w:rPr>
        <w:t xml:space="preserve">Analytical methods for the data acquired at </w:t>
      </w:r>
      <w:r w:rsidR="00CC0872">
        <w:rPr>
          <w:b/>
          <w:bCs/>
        </w:rPr>
        <w:t>NGU and NTNU</w:t>
      </w:r>
      <w:bookmarkEnd w:id="0"/>
    </w:p>
    <w:p w14:paraId="78DE00CA" w14:textId="77777777" w:rsidR="00DC178A" w:rsidRDefault="00DC178A" w:rsidP="00DC178A">
      <w:pPr>
        <w:spacing w:line="276" w:lineRule="auto"/>
        <w:jc w:val="both"/>
        <w:rPr>
          <w:b/>
          <w:bCs/>
        </w:rPr>
      </w:pPr>
    </w:p>
    <w:p w14:paraId="31778989" w14:textId="6608C0EC" w:rsidR="00DC178A" w:rsidRPr="00DC178A" w:rsidRDefault="00DC178A" w:rsidP="00DC178A">
      <w:pPr>
        <w:spacing w:line="240" w:lineRule="auto"/>
        <w:jc w:val="both"/>
        <w:rPr>
          <w:u w:val="single"/>
        </w:rPr>
      </w:pPr>
      <w:r w:rsidRPr="00DC178A">
        <w:rPr>
          <w:u w:val="single"/>
        </w:rPr>
        <w:t>Whole-rock chemistry at the ULB (Belgium)</w:t>
      </w:r>
    </w:p>
    <w:p w14:paraId="51E40C28" w14:textId="6F3CAC54" w:rsidR="00DC178A" w:rsidRPr="00DC178A" w:rsidRDefault="00DC178A" w:rsidP="00DC178A">
      <w:pPr>
        <w:spacing w:line="240" w:lineRule="auto"/>
        <w:jc w:val="both"/>
      </w:pPr>
      <w:r w:rsidRPr="00DC178A">
        <w:t xml:space="preserve">Major and trace element analyses were carried out at the Laboratoire G-Time (ULB, Brussels, Belgium). </w:t>
      </w:r>
      <w:r w:rsidR="00082C6A">
        <w:t xml:space="preserve">Around </w:t>
      </w:r>
      <w:r w:rsidRPr="00DC178A">
        <w:t xml:space="preserve">50 mg of powdered </w:t>
      </w:r>
      <w:r w:rsidR="00082C6A">
        <w:t xml:space="preserve">and </w:t>
      </w:r>
      <w:r w:rsidR="00032FC1">
        <w:t>homogenized</w:t>
      </w:r>
      <w:r w:rsidR="00082C6A">
        <w:t xml:space="preserve"> </w:t>
      </w:r>
      <w:r w:rsidRPr="00DC178A">
        <w:t xml:space="preserve">samples were melted by alkaline fusion after adding 0.8 g of lithium metaborate and 0.2 g of lithium tetraborate in a graphite crucible. After 5 minutes at 1000 °C, the beads were re-dissolved in a stirring solution of </w:t>
      </w:r>
      <w:r w:rsidR="00082C6A">
        <w:t xml:space="preserve">5% </w:t>
      </w:r>
      <w:r w:rsidRPr="00DC178A">
        <w:t>HNO</w:t>
      </w:r>
      <w:r w:rsidRPr="00DC178A">
        <w:rPr>
          <w:vertAlign w:val="subscript"/>
        </w:rPr>
        <w:t>3</w:t>
      </w:r>
      <w:r w:rsidRPr="00DC178A">
        <w:t xml:space="preserve">. Major elements were measured on the ICP-OES Thermofischer Scientific iCAP at ULB, using Y as internal standard. Two USGS standards were used (BHVO-2 and AGV-2) and the total reproducibility was better than 2% for each element. An additional standard (BCR 032) was used for P content. Loss on ignition was measured on a 0.5 g aliquot after 5 h at 800 °C. Trace elements were measured on an Agilent 7700 ICP-MS, also at ULB, by adding In as internal standard. The same </w:t>
      </w:r>
      <w:r w:rsidR="00082C6A">
        <w:t>three</w:t>
      </w:r>
      <w:r w:rsidR="00082C6A" w:rsidRPr="00DC178A">
        <w:t xml:space="preserve"> </w:t>
      </w:r>
      <w:r w:rsidRPr="00DC178A">
        <w:t>standards were used. The total reproducibility was systematically better than 5%.</w:t>
      </w:r>
    </w:p>
    <w:p w14:paraId="2B3F2B94" w14:textId="720283D2" w:rsidR="00DC178A" w:rsidRPr="00DC178A" w:rsidRDefault="00DC178A" w:rsidP="00DC178A">
      <w:pPr>
        <w:spacing w:line="240" w:lineRule="auto"/>
        <w:contextualSpacing/>
        <w:jc w:val="both"/>
        <w:rPr>
          <w:b/>
          <w:bCs/>
        </w:rPr>
      </w:pPr>
    </w:p>
    <w:p w14:paraId="65880D51" w14:textId="0008A0AD" w:rsidR="00DC178A" w:rsidRPr="00DC178A" w:rsidRDefault="00DC178A" w:rsidP="00DC178A">
      <w:pPr>
        <w:spacing w:line="240" w:lineRule="auto"/>
        <w:contextualSpacing/>
        <w:jc w:val="both"/>
        <w:rPr>
          <w:u w:val="single"/>
        </w:rPr>
      </w:pPr>
      <w:r w:rsidRPr="00DC178A">
        <w:rPr>
          <w:u w:val="single"/>
        </w:rPr>
        <w:t>Whole-rock chemistry at the NGU (Norway)</w:t>
      </w:r>
    </w:p>
    <w:p w14:paraId="05A2E10E" w14:textId="618A3B06" w:rsidR="00CC0872" w:rsidRPr="00DC178A" w:rsidRDefault="00CC0872" w:rsidP="00DC178A">
      <w:pPr>
        <w:spacing w:line="240" w:lineRule="auto"/>
        <w:jc w:val="both"/>
      </w:pPr>
      <w:r w:rsidRPr="00DC178A">
        <w:t>Whole-rock analyses were performed at the Geological Survey of Norway</w:t>
      </w:r>
      <w:r w:rsidR="008B7F2B" w:rsidRPr="00DC178A">
        <w:t xml:space="preserve"> using</w:t>
      </w:r>
      <w:r w:rsidRPr="00DC178A">
        <w:t xml:space="preserve"> </w:t>
      </w:r>
      <w:r w:rsidR="00BE3391" w:rsidRPr="00DC178A">
        <w:t xml:space="preserve">X-ray </w:t>
      </w:r>
      <w:r w:rsidR="00703DA7" w:rsidRPr="00DC178A">
        <w:t>Fluorescence</w:t>
      </w:r>
      <w:r w:rsidR="00BE3391" w:rsidRPr="00DC178A">
        <w:t xml:space="preserve"> (XRF</w:t>
      </w:r>
      <w:r w:rsidR="00121244" w:rsidRPr="00DC178A">
        <w:t>, PANalytical Axios  4 kW - Rh-X-ray tube)</w:t>
      </w:r>
      <w:r w:rsidR="00703DA7" w:rsidRPr="00DC178A">
        <w:t xml:space="preserve"> </w:t>
      </w:r>
      <w:r w:rsidR="008B7F2B" w:rsidRPr="00DC178A">
        <w:t xml:space="preserve">for major and trace elements, primarily </w:t>
      </w:r>
      <w:r w:rsidR="00CF5378" w:rsidRPr="00DC178A">
        <w:t>for</w:t>
      </w:r>
      <w:r w:rsidR="008B7F2B" w:rsidRPr="00DC178A">
        <w:t xml:space="preserve"> alkali</w:t>
      </w:r>
      <w:r w:rsidR="00356288" w:rsidRPr="00DC178A">
        <w:t xml:space="preserve">, alkaline Earth </w:t>
      </w:r>
      <w:r w:rsidR="008B7F2B" w:rsidRPr="00DC178A">
        <w:t xml:space="preserve"> </w:t>
      </w:r>
      <w:r w:rsidR="00CF5378" w:rsidRPr="00DC178A">
        <w:t>and transition metals, while</w:t>
      </w:r>
      <w:r w:rsidR="00703DA7" w:rsidRPr="00DC178A">
        <w:t xml:space="preserve"> Laser Ablation Inductively Coupled Mass Spectrometry</w:t>
      </w:r>
      <w:r w:rsidR="00502567" w:rsidRPr="00DC178A">
        <w:t xml:space="preserve"> (ICP-MS) </w:t>
      </w:r>
      <w:r w:rsidR="00CF5378" w:rsidRPr="00DC178A">
        <w:t xml:space="preserve">was used to measures concentrations of </w:t>
      </w:r>
      <w:r w:rsidR="008B7F2B" w:rsidRPr="00DC178A">
        <w:t>Rare Earth Elements (REE) and High Field Strength elements (HFSE)</w:t>
      </w:r>
      <w:r w:rsidR="008822DC" w:rsidRPr="00DC178A">
        <w:t xml:space="preserve">. </w:t>
      </w:r>
      <w:r w:rsidR="00C75DBE" w:rsidRPr="00DC178A">
        <w:t>XRF m</w:t>
      </w:r>
      <w:r w:rsidR="00665B26" w:rsidRPr="00DC178A">
        <w:t xml:space="preserve">ajor element </w:t>
      </w:r>
      <w:r w:rsidR="00C75DBE" w:rsidRPr="00DC178A">
        <w:t xml:space="preserve">and trace LA ICP-MS </w:t>
      </w:r>
      <w:r w:rsidR="00665B26" w:rsidRPr="00DC178A">
        <w:t xml:space="preserve">analyses were </w:t>
      </w:r>
      <w:r w:rsidR="00BE3397" w:rsidRPr="00DC178A">
        <w:t>performed</w:t>
      </w:r>
      <w:r w:rsidR="00665B26" w:rsidRPr="00DC178A">
        <w:t xml:space="preserve"> on glass </w:t>
      </w:r>
      <w:r w:rsidR="00BE3397" w:rsidRPr="00DC178A">
        <w:t xml:space="preserve">pellets composed of 0.6 g of sample powder, mixed with </w:t>
      </w:r>
      <w:r w:rsidR="00E419D0" w:rsidRPr="00DC178A">
        <w:t>4.2 g of lithium tetraborate (Li2B4O7)</w:t>
      </w:r>
      <w:r w:rsidR="00C75DBE" w:rsidRPr="00DC178A">
        <w:t xml:space="preserve">, while </w:t>
      </w:r>
      <w:r w:rsidR="00BA1A12" w:rsidRPr="00DC178A">
        <w:t>X</w:t>
      </w:r>
      <w:r w:rsidR="00C75DBE" w:rsidRPr="00DC178A">
        <w:t xml:space="preserve">RF trace element analyses were performed on </w:t>
      </w:r>
      <w:r w:rsidR="00EF073C" w:rsidRPr="00DC178A">
        <w:t>pressed pellets</w:t>
      </w:r>
      <w:r w:rsidR="00E419D0" w:rsidRPr="00DC178A">
        <w:t xml:space="preserve">. Analyses were performed on powders that underwent lost </w:t>
      </w:r>
      <w:r w:rsidR="00B66245" w:rsidRPr="00DC178A">
        <w:t xml:space="preserve">on ignitions at 1100 </w:t>
      </w:r>
      <w:r w:rsidR="00B66245" w:rsidRPr="00DC178A">
        <w:rPr>
          <w:rtl/>
          <w:lang w:bidi="he-IL"/>
        </w:rPr>
        <w:t>֯</w:t>
      </w:r>
      <w:r w:rsidR="00B66245" w:rsidRPr="00DC178A">
        <w:t xml:space="preserve">C. </w:t>
      </w:r>
      <w:r w:rsidR="007518E7" w:rsidRPr="00DC178A">
        <w:t xml:space="preserve">Uncertainties and precisions of the </w:t>
      </w:r>
      <w:r w:rsidR="00BA1A12" w:rsidRPr="00DC178A">
        <w:t>various analyses</w:t>
      </w:r>
      <w:r w:rsidR="007518E7" w:rsidRPr="00DC178A">
        <w:t xml:space="preserve"> are reported in table 1</w:t>
      </w:r>
      <w:r w:rsidR="00BA1A12" w:rsidRPr="00DC178A">
        <w:t>, 2 and 3</w:t>
      </w:r>
      <w:r w:rsidR="007518E7" w:rsidRPr="00DC178A">
        <w:t>.</w:t>
      </w:r>
    </w:p>
    <w:p w14:paraId="5A654AE5" w14:textId="7AF71D49" w:rsidR="005D37C1" w:rsidRDefault="005D37C1" w:rsidP="00CC0872"/>
    <w:p w14:paraId="752B8183" w14:textId="0ACB3838" w:rsidR="005D37C1" w:rsidRPr="00B70750" w:rsidRDefault="005D37C1" w:rsidP="00CC0872">
      <w:pPr>
        <w:rPr>
          <w:i/>
          <w:iCs/>
        </w:rPr>
      </w:pPr>
      <w:r w:rsidRPr="00B70750">
        <w:rPr>
          <w:i/>
          <w:iCs/>
        </w:rPr>
        <w:t xml:space="preserve">Table </w:t>
      </w:r>
      <w:r w:rsidR="004C2624">
        <w:rPr>
          <w:i/>
          <w:iCs/>
        </w:rPr>
        <w:t>S</w:t>
      </w:r>
      <w:r w:rsidRPr="00B70750">
        <w:rPr>
          <w:i/>
          <w:iCs/>
        </w:rPr>
        <w:t>1</w:t>
      </w:r>
      <w:r w:rsidR="0063055D" w:rsidRPr="00B70750">
        <w:rPr>
          <w:i/>
          <w:iCs/>
        </w:rPr>
        <w:t xml:space="preserve">: Detection limit and uncertainties associated with </w:t>
      </w:r>
      <w:r w:rsidR="00AC1B92" w:rsidRPr="00B70750">
        <w:rPr>
          <w:i/>
          <w:iCs/>
        </w:rPr>
        <w:t xml:space="preserve">XRF </w:t>
      </w:r>
      <w:r w:rsidR="0063055D" w:rsidRPr="00B70750">
        <w:rPr>
          <w:i/>
          <w:iCs/>
        </w:rPr>
        <w:t>major element analyses.</w:t>
      </w:r>
    </w:p>
    <w:tbl>
      <w:tblPr>
        <w:tblW w:w="9733" w:type="dxa"/>
        <w:tblLook w:val="04A0" w:firstRow="1" w:lastRow="0" w:firstColumn="1" w:lastColumn="0" w:noHBand="0" w:noVBand="1"/>
      </w:tblPr>
      <w:tblGrid>
        <w:gridCol w:w="1639"/>
        <w:gridCol w:w="755"/>
        <w:gridCol w:w="878"/>
        <w:gridCol w:w="923"/>
        <w:gridCol w:w="757"/>
        <w:gridCol w:w="791"/>
        <w:gridCol w:w="819"/>
        <w:gridCol w:w="818"/>
        <w:gridCol w:w="823"/>
        <w:gridCol w:w="818"/>
        <w:gridCol w:w="822"/>
      </w:tblGrid>
      <w:tr w:rsidR="006431CA" w:rsidRPr="006431CA" w14:paraId="467F4DCE" w14:textId="77777777" w:rsidTr="00B15518">
        <w:trPr>
          <w:trHeight w:val="211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2FFF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b/>
                <w:bCs/>
                <w:sz w:val="20"/>
                <w:szCs w:val="20"/>
              </w:rPr>
            </w:pPr>
            <w:r w:rsidRPr="006431CA">
              <w:rPr>
                <w:rFonts w:eastAsia="Times New Roman"/>
                <w:b/>
                <w:bCs/>
                <w:sz w:val="20"/>
                <w:szCs w:val="20"/>
              </w:rPr>
              <w:t>INSTRUMENT:</w:t>
            </w: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3A1B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b/>
                <w:bCs/>
                <w:sz w:val="20"/>
                <w:szCs w:val="20"/>
              </w:rPr>
            </w:pPr>
            <w:r w:rsidRPr="006431CA">
              <w:rPr>
                <w:rFonts w:eastAsia="Times New Roman"/>
                <w:b/>
                <w:bCs/>
                <w:sz w:val="20"/>
                <w:szCs w:val="20"/>
              </w:rPr>
              <w:t>PANalytical Axios  4 kW  XRF (Rh-X-ray tube)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E9F0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64A5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DA39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6CBD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52B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</w:tr>
      <w:tr w:rsidR="006431CA" w:rsidRPr="006431CA" w14:paraId="3F169FA6" w14:textId="77777777" w:rsidTr="00B15518">
        <w:trPr>
          <w:trHeight w:val="211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BB31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1B18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4ED3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A5BB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CFCC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AF48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45C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ECD4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7A8D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3E87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899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</w:tr>
      <w:tr w:rsidR="006431CA" w:rsidRPr="006431CA" w14:paraId="470A1BF3" w14:textId="77777777" w:rsidTr="00B15518">
        <w:trPr>
          <w:trHeight w:val="211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75A6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b/>
                <w:bCs/>
                <w:sz w:val="20"/>
                <w:szCs w:val="20"/>
              </w:rPr>
            </w:pPr>
            <w:r w:rsidRPr="006431CA">
              <w:rPr>
                <w:rFonts w:eastAsia="Times New Roman"/>
                <w:b/>
                <w:bCs/>
                <w:sz w:val="20"/>
                <w:szCs w:val="20"/>
              </w:rPr>
              <w:t>METODE:</w:t>
            </w:r>
          </w:p>
        </w:tc>
        <w:tc>
          <w:tcPr>
            <w:tcW w:w="6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530B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b/>
                <w:bCs/>
                <w:sz w:val="20"/>
                <w:szCs w:val="20"/>
              </w:rPr>
            </w:pPr>
            <w:r w:rsidRPr="006431CA">
              <w:rPr>
                <w:rFonts w:eastAsia="Times New Roman"/>
                <w:b/>
                <w:bCs/>
                <w:sz w:val="20"/>
                <w:szCs w:val="20"/>
              </w:rPr>
              <w:t>The analytical method is described in NGU-SD:2.3: XRF-analyses, major elements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C2DB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411F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</w:tr>
      <w:tr w:rsidR="006431CA" w:rsidRPr="006431CA" w14:paraId="2BADCB75" w14:textId="77777777" w:rsidTr="00B15518">
        <w:trPr>
          <w:trHeight w:val="211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2360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FB8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77B3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0730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8B57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4659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9195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E56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BBCA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1065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CEA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</w:tr>
      <w:tr w:rsidR="006431CA" w:rsidRPr="006431CA" w14:paraId="1733E5BE" w14:textId="77777777" w:rsidTr="00B15518">
        <w:trPr>
          <w:trHeight w:val="211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2098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b/>
                <w:bCs/>
                <w:sz w:val="20"/>
                <w:szCs w:val="20"/>
              </w:rPr>
            </w:pPr>
            <w:r w:rsidRPr="006431CA">
              <w:rPr>
                <w:rFonts w:eastAsia="Times New Roman"/>
                <w:b/>
                <w:bCs/>
                <w:sz w:val="20"/>
                <w:szCs w:val="20"/>
              </w:rPr>
              <w:t>Analyses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3FF0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b/>
                <w:bCs/>
                <w:sz w:val="20"/>
                <w:szCs w:val="20"/>
              </w:rPr>
            </w:pPr>
            <w:r w:rsidRPr="006431CA">
              <w:rPr>
                <w:rFonts w:eastAsia="Times New Roman"/>
                <w:b/>
                <w:bCs/>
                <w:sz w:val="20"/>
                <w:szCs w:val="20"/>
              </w:rPr>
              <w:t>Major elements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9010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804B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85D9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D669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484C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5064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02CB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DFF8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</w:tr>
      <w:tr w:rsidR="00B70750" w:rsidRPr="006431CA" w14:paraId="44C2CA9F" w14:textId="77777777" w:rsidTr="00B70750">
        <w:trPr>
          <w:trHeight w:val="211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754A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701C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  <w:r w:rsidRPr="006431CA">
              <w:rPr>
                <w:rFonts w:eastAsia="Times New Roman"/>
                <w:sz w:val="20"/>
                <w:szCs w:val="20"/>
              </w:rPr>
              <w:t>Analyses were performed on glass pellets made of melted sample powder (0.6g) mixed with 4.2 g of lithium tetraborate (Li2B4O7)</w:t>
            </w:r>
          </w:p>
        </w:tc>
      </w:tr>
      <w:tr w:rsidR="00B70750" w:rsidRPr="006431CA" w14:paraId="4B042B21" w14:textId="77777777" w:rsidTr="00B70750">
        <w:trPr>
          <w:trHeight w:val="211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17B0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CAA6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  <w:r w:rsidRPr="006431CA">
              <w:rPr>
                <w:rFonts w:eastAsia="Times New Roman"/>
                <w:sz w:val="20"/>
                <w:szCs w:val="20"/>
              </w:rPr>
              <w:t>Analyses are performed on samples which underwent loss on ignition (at 1000  °C). Data are then recalculated for the whole sample.</w:t>
            </w:r>
          </w:p>
        </w:tc>
      </w:tr>
      <w:tr w:rsidR="006431CA" w:rsidRPr="006431CA" w14:paraId="67B08190" w14:textId="77777777" w:rsidTr="00B15518">
        <w:trPr>
          <w:trHeight w:val="211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6F5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90EE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C2EA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7DA6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1FD9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99CD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42BC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0A67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DEAB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2A61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8037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</w:tr>
      <w:tr w:rsidR="006431CA" w:rsidRPr="006431CA" w14:paraId="1D0775F3" w14:textId="77777777" w:rsidTr="00B15518">
        <w:trPr>
          <w:trHeight w:val="220"/>
        </w:trPr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6B5E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sz w:val="20"/>
                <w:szCs w:val="20"/>
              </w:rPr>
            </w:pPr>
            <w:r w:rsidRPr="006431CA">
              <w:rPr>
                <w:rFonts w:ascii="Arial" w:eastAsia="Times New Roman" w:hAnsi="Arial" w:cs="Arial"/>
                <w:sz w:val="20"/>
                <w:szCs w:val="20"/>
              </w:rPr>
              <w:t>Detection limit and uncertainties (%)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F13C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367A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  <w:r w:rsidRPr="006431CA">
              <w:rPr>
                <w:rFonts w:eastAsia="Times New Roman"/>
                <w:sz w:val="20"/>
                <w:szCs w:val="20"/>
              </w:rPr>
              <w:t>*) Accredited analyses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E28D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1B5C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4D9F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A541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</w:tr>
      <w:tr w:rsidR="006431CA" w:rsidRPr="006431CA" w14:paraId="44041340" w14:textId="77777777" w:rsidTr="00B15518">
        <w:trPr>
          <w:trHeight w:val="220"/>
        </w:trPr>
        <w:tc>
          <w:tcPr>
            <w:tcW w:w="15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9BC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  <w:r w:rsidRPr="006431CA">
              <w:rPr>
                <w:rFonts w:eastAsia="Times New Roman"/>
                <w:sz w:val="20"/>
                <w:szCs w:val="20"/>
              </w:rPr>
              <w:t>Oxide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28F5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SiO</w:t>
            </w: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8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23C9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</w:t>
            </w: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</w:rPr>
              <w:t>3</w:t>
            </w: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9543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</w:t>
            </w: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</w:rPr>
              <w:t>3</w:t>
            </w: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EA8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TiO</w:t>
            </w: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4C6D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MgO*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CB36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CaO*</w:t>
            </w:r>
          </w:p>
        </w:tc>
        <w:tc>
          <w:tcPr>
            <w:tcW w:w="8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B9BF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</w:t>
            </w: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O*</w:t>
            </w:r>
          </w:p>
        </w:tc>
        <w:tc>
          <w:tcPr>
            <w:tcW w:w="8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BA37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O*</w:t>
            </w:r>
          </w:p>
        </w:tc>
        <w:tc>
          <w:tcPr>
            <w:tcW w:w="8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A40C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MnO*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58EC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</w:t>
            </w: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</w:rPr>
              <w:t>5</w:t>
            </w:r>
            <w:r w:rsidRPr="006431C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6431CA" w:rsidRPr="006431CA" w14:paraId="50FA85D9" w14:textId="77777777" w:rsidTr="00B15518">
        <w:trPr>
          <w:trHeight w:val="220"/>
        </w:trPr>
        <w:tc>
          <w:tcPr>
            <w:tcW w:w="1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5CF5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  <w:r w:rsidRPr="006431CA">
              <w:rPr>
                <w:rFonts w:eastAsia="Times New Roman"/>
                <w:sz w:val="20"/>
                <w:szCs w:val="20"/>
              </w:rPr>
              <w:t>Detection limit</w:t>
            </w:r>
          </w:p>
        </w:tc>
        <w:tc>
          <w:tcPr>
            <w:tcW w:w="7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139F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6"/>
                <w:szCs w:val="16"/>
              </w:rPr>
            </w:pPr>
            <w:r w:rsidRPr="006431CA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94E7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6"/>
                <w:szCs w:val="16"/>
              </w:rPr>
            </w:pPr>
            <w:r w:rsidRPr="006431CA">
              <w:rPr>
                <w:rFonts w:ascii="Arial" w:eastAsia="Times New Roman" w:hAnsi="Arial" w:cs="Arial"/>
                <w:sz w:val="16"/>
                <w:szCs w:val="16"/>
              </w:rPr>
              <w:t>0.02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291A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6"/>
                <w:szCs w:val="16"/>
              </w:rPr>
            </w:pPr>
            <w:r w:rsidRPr="006431CA">
              <w:rPr>
                <w:rFonts w:ascii="Arial" w:eastAsia="Times New Roman" w:hAnsi="Arial" w:cs="Arial"/>
                <w:sz w:val="16"/>
                <w:szCs w:val="16"/>
              </w:rPr>
              <w:t>0.01</w:t>
            </w:r>
          </w:p>
        </w:tc>
        <w:tc>
          <w:tcPr>
            <w:tcW w:w="7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935A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6"/>
                <w:szCs w:val="16"/>
              </w:rPr>
            </w:pPr>
            <w:r w:rsidRPr="006431CA">
              <w:rPr>
                <w:rFonts w:ascii="Arial" w:eastAsia="Times New Roman" w:hAnsi="Arial" w:cs="Arial"/>
                <w:sz w:val="16"/>
                <w:szCs w:val="16"/>
              </w:rPr>
              <w:t>0.01</w:t>
            </w:r>
          </w:p>
        </w:tc>
        <w:tc>
          <w:tcPr>
            <w:tcW w:w="7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B36B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6"/>
                <w:szCs w:val="16"/>
              </w:rPr>
            </w:pPr>
            <w:r w:rsidRPr="006431CA">
              <w:rPr>
                <w:rFonts w:ascii="Arial" w:eastAsia="Times New Roman" w:hAnsi="Arial" w:cs="Arial"/>
                <w:sz w:val="16"/>
                <w:szCs w:val="16"/>
              </w:rPr>
              <w:t>0.04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F3E7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6"/>
                <w:szCs w:val="16"/>
              </w:rPr>
            </w:pPr>
            <w:r w:rsidRPr="006431CA">
              <w:rPr>
                <w:rFonts w:ascii="Arial" w:eastAsia="Times New Roman" w:hAnsi="Arial" w:cs="Arial"/>
                <w:sz w:val="16"/>
                <w:szCs w:val="16"/>
              </w:rPr>
              <w:t>0.01</w:t>
            </w:r>
          </w:p>
        </w:tc>
        <w:tc>
          <w:tcPr>
            <w:tcW w:w="8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AB33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6"/>
                <w:szCs w:val="16"/>
              </w:rPr>
            </w:pPr>
            <w:r w:rsidRPr="006431CA">
              <w:rPr>
                <w:rFonts w:ascii="Arial" w:eastAsia="Times New Roman" w:hAnsi="Arial" w:cs="Arial"/>
                <w:sz w:val="16"/>
                <w:szCs w:val="16"/>
              </w:rPr>
              <w:t>0.1</w:t>
            </w:r>
          </w:p>
        </w:tc>
        <w:tc>
          <w:tcPr>
            <w:tcW w:w="8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ABE7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6"/>
                <w:szCs w:val="16"/>
              </w:rPr>
            </w:pPr>
            <w:r w:rsidRPr="006431CA">
              <w:rPr>
                <w:rFonts w:ascii="Arial" w:eastAsia="Times New Roman" w:hAnsi="Arial" w:cs="Arial"/>
                <w:sz w:val="16"/>
                <w:szCs w:val="16"/>
              </w:rPr>
              <w:t>0.01</w:t>
            </w:r>
          </w:p>
        </w:tc>
        <w:tc>
          <w:tcPr>
            <w:tcW w:w="8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97BA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6"/>
                <w:szCs w:val="16"/>
              </w:rPr>
            </w:pPr>
            <w:r w:rsidRPr="006431CA">
              <w:rPr>
                <w:rFonts w:ascii="Arial" w:eastAsia="Times New Roman" w:hAnsi="Arial" w:cs="Arial"/>
                <w:sz w:val="16"/>
                <w:szCs w:val="16"/>
              </w:rPr>
              <w:t>0.01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C079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6"/>
                <w:szCs w:val="16"/>
              </w:rPr>
            </w:pPr>
            <w:r w:rsidRPr="006431CA">
              <w:rPr>
                <w:rFonts w:ascii="Arial" w:eastAsia="Times New Roman" w:hAnsi="Arial" w:cs="Arial"/>
                <w:sz w:val="16"/>
                <w:szCs w:val="16"/>
              </w:rPr>
              <w:t>0.01</w:t>
            </w:r>
          </w:p>
        </w:tc>
      </w:tr>
      <w:tr w:rsidR="006431CA" w:rsidRPr="006431CA" w14:paraId="43DCECBC" w14:textId="77777777" w:rsidTr="00B15518">
        <w:trPr>
          <w:trHeight w:val="228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DAFE6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  <w:r w:rsidRPr="006431CA">
              <w:rPr>
                <w:rFonts w:eastAsia="Times New Roman"/>
                <w:sz w:val="20"/>
                <w:szCs w:val="20"/>
              </w:rPr>
              <w:t>Concentration 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D867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  <w:r w:rsidRPr="006431CA">
              <w:rPr>
                <w:rFonts w:eastAsia="Times New Roman"/>
                <w:sz w:val="20"/>
                <w:szCs w:val="20"/>
              </w:rPr>
              <w:t>± 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DD0E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  <w:r w:rsidRPr="006431CA">
              <w:rPr>
                <w:rFonts w:eastAsia="Times New Roman"/>
                <w:sz w:val="20"/>
                <w:szCs w:val="20"/>
              </w:rPr>
              <w:t>± 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42D1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  <w:r w:rsidRPr="006431CA">
              <w:rPr>
                <w:rFonts w:eastAsia="Times New Roman"/>
                <w:sz w:val="20"/>
                <w:szCs w:val="20"/>
              </w:rPr>
              <w:t>± %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38E0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  <w:r w:rsidRPr="006431CA">
              <w:rPr>
                <w:rFonts w:eastAsia="Times New Roman"/>
                <w:sz w:val="20"/>
                <w:szCs w:val="20"/>
              </w:rPr>
              <w:t>± 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A0E5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  <w:r w:rsidRPr="006431CA">
              <w:rPr>
                <w:rFonts w:eastAsia="Times New Roman"/>
                <w:sz w:val="20"/>
                <w:szCs w:val="20"/>
              </w:rPr>
              <w:t>± 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61E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  <w:r w:rsidRPr="006431CA">
              <w:rPr>
                <w:rFonts w:eastAsia="Times New Roman"/>
                <w:sz w:val="20"/>
                <w:szCs w:val="20"/>
              </w:rPr>
              <w:t>± 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FC2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  <w:r w:rsidRPr="006431CA">
              <w:rPr>
                <w:rFonts w:eastAsia="Times New Roman"/>
                <w:sz w:val="20"/>
                <w:szCs w:val="20"/>
              </w:rPr>
              <w:t>± 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86D0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  <w:r w:rsidRPr="006431CA">
              <w:rPr>
                <w:rFonts w:eastAsia="Times New Roman"/>
                <w:sz w:val="20"/>
                <w:szCs w:val="20"/>
              </w:rPr>
              <w:t>± 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80BF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  <w:r w:rsidRPr="006431CA">
              <w:rPr>
                <w:rFonts w:eastAsia="Times New Roman"/>
                <w:sz w:val="20"/>
                <w:szCs w:val="20"/>
              </w:rPr>
              <w:t>± 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1F84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  <w:r w:rsidRPr="006431CA">
              <w:rPr>
                <w:rFonts w:eastAsia="Times New Roman"/>
                <w:sz w:val="20"/>
                <w:szCs w:val="20"/>
              </w:rPr>
              <w:t>± %</w:t>
            </w:r>
          </w:p>
        </w:tc>
      </w:tr>
      <w:tr w:rsidR="006431CA" w:rsidRPr="006431CA" w14:paraId="1E4079FB" w14:textId="77777777" w:rsidTr="00B15518">
        <w:trPr>
          <w:trHeight w:val="211"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2C3B6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E7AD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810F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F28B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8D05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E071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30FC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F689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A814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FDF4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48B0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0.005</w:t>
            </w:r>
          </w:p>
        </w:tc>
      </w:tr>
      <w:tr w:rsidR="006431CA" w:rsidRPr="006431CA" w14:paraId="0BC2B405" w14:textId="77777777" w:rsidTr="00B15518">
        <w:trPr>
          <w:trHeight w:val="211"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4573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D7CF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CDFB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EF59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0903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B69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C9E5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1B47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3867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9771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A398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0.009</w:t>
            </w:r>
          </w:p>
        </w:tc>
      </w:tr>
      <w:tr w:rsidR="006431CA" w:rsidRPr="006431CA" w14:paraId="0CFD4C2A" w14:textId="77777777" w:rsidTr="00B15518">
        <w:trPr>
          <w:trHeight w:val="211"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0E754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4E3E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7A5C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1376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48E4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476B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9F9F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891A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8B53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EA08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30EA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0.015</w:t>
            </w:r>
          </w:p>
        </w:tc>
      </w:tr>
      <w:tr w:rsidR="006431CA" w:rsidRPr="006431CA" w14:paraId="60E91E23" w14:textId="77777777" w:rsidTr="00B15518">
        <w:trPr>
          <w:trHeight w:val="211"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FA1D9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03AF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222D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C468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0.063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9C21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695E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AA5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516D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BB9B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1090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2353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0.021</w:t>
            </w:r>
          </w:p>
        </w:tc>
      </w:tr>
      <w:tr w:rsidR="006431CA" w:rsidRPr="006431CA" w14:paraId="41B6C492" w14:textId="77777777" w:rsidTr="00B15518">
        <w:trPr>
          <w:trHeight w:val="211"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60FA3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C1C6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8F6F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929A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0.135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12C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7D35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0.181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473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0.135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4D6B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A5EA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0.158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C3A6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6F46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0.050</w:t>
            </w:r>
          </w:p>
        </w:tc>
      </w:tr>
      <w:tr w:rsidR="006431CA" w:rsidRPr="006431CA" w14:paraId="61549506" w14:textId="77777777" w:rsidTr="00B15518">
        <w:trPr>
          <w:trHeight w:val="211"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FDD7F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1D6A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41E6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FEF4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0.191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ADC8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B503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0.254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0863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0.191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7EB3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96D4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0.222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425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0EA5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0.100</w:t>
            </w:r>
          </w:p>
        </w:tc>
      </w:tr>
      <w:tr w:rsidR="006431CA" w:rsidRPr="006431CA" w14:paraId="118B30C0" w14:textId="77777777" w:rsidTr="00B15518">
        <w:trPr>
          <w:trHeight w:val="211"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5F328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EF3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0458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0.250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59C4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0.301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9E13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31FE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0.401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B71D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0.301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A534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BBA4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0.351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773F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0.250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583E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6431CA" w:rsidRPr="006431CA" w14:paraId="26A7F0E7" w14:textId="77777777" w:rsidTr="00B15518">
        <w:trPr>
          <w:trHeight w:val="211"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9E149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7573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A500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E450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0.500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BFCF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2D8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0.566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AEBE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72AF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7E3D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BBC3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D3E5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6431CA" w:rsidRPr="006431CA" w14:paraId="0AA87715" w14:textId="77777777" w:rsidTr="00B15518">
        <w:trPr>
          <w:trHeight w:val="211"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994D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C81B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A94B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0.750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9B41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0.750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F3F1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2A88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0.750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9645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0.750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C05E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8DD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898E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E560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6431CA" w:rsidRPr="006431CA" w14:paraId="168A57B4" w14:textId="77777777" w:rsidTr="00B15518">
        <w:trPr>
          <w:trHeight w:val="211"/>
        </w:trPr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D26FC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80E4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sz w:val="18"/>
                <w:szCs w:val="18"/>
              </w:rPr>
              <w:t>1.00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81AC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6AF8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6A83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E2D5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C48C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E710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FDC6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47CF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A77D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6431CA" w:rsidRPr="006431CA" w14:paraId="500AFCEF" w14:textId="77777777" w:rsidTr="00B15518">
        <w:trPr>
          <w:trHeight w:val="211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6071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B6E7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8C51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D571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3DF9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3ED8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9F97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2366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B4BB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4F03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0135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431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6431CA" w:rsidRPr="006431CA" w14:paraId="57DB168F" w14:textId="77777777" w:rsidTr="00B15518">
        <w:trPr>
          <w:trHeight w:val="211"/>
        </w:trPr>
        <w:tc>
          <w:tcPr>
            <w:tcW w:w="4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3CE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431CA">
              <w:rPr>
                <w:rFonts w:ascii="Calibri" w:eastAsia="Times New Roman" w:hAnsi="Calibri" w:cs="Calibri"/>
                <w:sz w:val="18"/>
                <w:szCs w:val="18"/>
              </w:rPr>
              <w:t>Stated uncertainties represent 1σ (68% conf. Interval).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7EB2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4F46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1DC0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291E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19A0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CBAA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2FF8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</w:tr>
      <w:tr w:rsidR="006431CA" w:rsidRPr="006431CA" w14:paraId="30B8F013" w14:textId="77777777" w:rsidTr="00B15518">
        <w:trPr>
          <w:trHeight w:val="227"/>
        </w:trPr>
        <w:tc>
          <w:tcPr>
            <w:tcW w:w="97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125" w14:textId="77777777" w:rsidR="006431CA" w:rsidRPr="006431CA" w:rsidRDefault="006431CA" w:rsidP="006431CA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431CA">
              <w:rPr>
                <w:rFonts w:ascii="Calibri" w:eastAsia="Times New Roman" w:hAnsi="Calibri" w:cs="Calibri"/>
                <w:sz w:val="18"/>
                <w:szCs w:val="18"/>
              </w:rPr>
              <w:t>Loss on ignition (LOI) is reported with a lower limit of detection at 0.05% and an uncertainty of 2.5% rel. (2σ). Some samples may have larger uncertainties.</w:t>
            </w:r>
          </w:p>
        </w:tc>
      </w:tr>
    </w:tbl>
    <w:p w14:paraId="4031BD92" w14:textId="68F63504" w:rsidR="00987148" w:rsidRDefault="00987148" w:rsidP="00CC0872"/>
    <w:p w14:paraId="43CF8C5D" w14:textId="7F7DBC68" w:rsidR="00BE3584" w:rsidRDefault="00BE3584" w:rsidP="00CC0872">
      <w:pPr>
        <w:rPr>
          <w:i/>
          <w:iCs/>
        </w:rPr>
      </w:pPr>
      <w:r w:rsidRPr="00B70750">
        <w:rPr>
          <w:i/>
          <w:iCs/>
        </w:rPr>
        <w:t xml:space="preserve">Table </w:t>
      </w:r>
      <w:r w:rsidR="004C2624">
        <w:rPr>
          <w:i/>
          <w:iCs/>
        </w:rPr>
        <w:t>S</w:t>
      </w:r>
      <w:r w:rsidRPr="00B70750">
        <w:rPr>
          <w:i/>
          <w:iCs/>
        </w:rPr>
        <w:t xml:space="preserve">2: </w:t>
      </w:r>
      <w:r w:rsidR="00D85FB3" w:rsidRPr="00B70750">
        <w:rPr>
          <w:i/>
          <w:iCs/>
        </w:rPr>
        <w:t>Detection limit and uncertainties associated with XRF trace element analyses.</w:t>
      </w:r>
    </w:p>
    <w:p w14:paraId="27C84E8C" w14:textId="50F279F3" w:rsidR="002B7C47" w:rsidRDefault="005140C8" w:rsidP="00A74080">
      <w:pPr>
        <w:jc w:val="center"/>
        <w:rPr>
          <w:i/>
          <w:iCs/>
        </w:rPr>
      </w:pPr>
      <w:r w:rsidRPr="005140C8">
        <w:rPr>
          <w:i/>
          <w:iCs/>
          <w:noProof/>
          <w:lang w:val="en-GB" w:eastAsia="en-GB"/>
        </w:rPr>
        <w:lastRenderedPageBreak/>
        <w:drawing>
          <wp:inline distT="0" distB="0" distL="0" distR="0" wp14:anchorId="0E15F448" wp14:editId="619DB6F8">
            <wp:extent cx="8216918" cy="3326457"/>
            <wp:effectExtent l="6985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49152" cy="333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D38E5" w14:textId="77777777" w:rsidR="00A44EAE" w:rsidRPr="005140C8" w:rsidRDefault="00A44EAE" w:rsidP="00A74080">
      <w:pPr>
        <w:jc w:val="center"/>
        <w:rPr>
          <w:i/>
          <w:iCs/>
        </w:rPr>
      </w:pPr>
    </w:p>
    <w:p w14:paraId="7FCC5251" w14:textId="4F639A23" w:rsidR="00296244" w:rsidRDefault="006431CA" w:rsidP="00CC0872">
      <w:pPr>
        <w:rPr>
          <w:i/>
          <w:iCs/>
        </w:rPr>
      </w:pPr>
      <w:r w:rsidRPr="006431CA">
        <w:rPr>
          <w:i/>
          <w:iCs/>
        </w:rPr>
        <w:t xml:space="preserve">Table </w:t>
      </w:r>
      <w:r w:rsidR="004C2624">
        <w:rPr>
          <w:i/>
          <w:iCs/>
        </w:rPr>
        <w:t>S</w:t>
      </w:r>
      <w:r w:rsidRPr="006431CA">
        <w:rPr>
          <w:i/>
          <w:iCs/>
        </w:rPr>
        <w:t>3: Detection limit and uncertainties associated with ICP-MS trace element analyses</w:t>
      </w:r>
    </w:p>
    <w:tbl>
      <w:tblPr>
        <w:tblW w:w="8475" w:type="dxa"/>
        <w:tblLook w:val="04A0" w:firstRow="1" w:lastRow="0" w:firstColumn="1" w:lastColumn="0" w:noHBand="0" w:noVBand="1"/>
      </w:tblPr>
      <w:tblGrid>
        <w:gridCol w:w="1497"/>
        <w:gridCol w:w="567"/>
        <w:gridCol w:w="567"/>
        <w:gridCol w:w="567"/>
        <w:gridCol w:w="567"/>
        <w:gridCol w:w="567"/>
        <w:gridCol w:w="550"/>
        <w:gridCol w:w="567"/>
        <w:gridCol w:w="567"/>
        <w:gridCol w:w="9"/>
        <w:gridCol w:w="558"/>
        <w:gridCol w:w="9"/>
        <w:gridCol w:w="558"/>
        <w:gridCol w:w="10"/>
        <w:gridCol w:w="557"/>
        <w:gridCol w:w="11"/>
        <w:gridCol w:w="556"/>
        <w:gridCol w:w="11"/>
        <w:gridCol w:w="556"/>
        <w:gridCol w:w="11"/>
      </w:tblGrid>
      <w:tr w:rsidR="00B41C2F" w:rsidRPr="00B41C2F" w14:paraId="4C2DAE33" w14:textId="77777777" w:rsidTr="00B15518">
        <w:trPr>
          <w:trHeight w:val="171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862F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INSTRUMENT:</w:t>
            </w:r>
          </w:p>
        </w:tc>
        <w:tc>
          <w:tcPr>
            <w:tcW w:w="44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A8CB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Thermo Fisher Scientific "ELEMENT XR" associated with a New Wave 193 nm laser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46EB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70AE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6562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0D7B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2051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</w:tr>
      <w:tr w:rsidR="00B41C2F" w:rsidRPr="00B41C2F" w14:paraId="38B446CB" w14:textId="77777777" w:rsidTr="00B15518">
        <w:trPr>
          <w:trHeight w:val="171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AE27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Method:</w:t>
            </w:r>
          </w:p>
        </w:tc>
        <w:tc>
          <w:tcPr>
            <w:tcW w:w="55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B68E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18"/>
                <w:szCs w:val="18"/>
              </w:rPr>
            </w:pPr>
            <w:r w:rsidRPr="00B41C2F">
              <w:rPr>
                <w:rFonts w:eastAsia="Times New Roman"/>
                <w:sz w:val="18"/>
                <w:szCs w:val="18"/>
              </w:rPr>
              <w:t xml:space="preserve">Bulk-rock analysis of REE, Be, Bi, Cs, Y, Zr, Nb, Ba, Hf, Ta, Th, U and W in samples, melted with Li3B4O7 into glass tablets.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3BC1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309C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8DCF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</w:tr>
      <w:tr w:rsidR="00B41C2F" w:rsidRPr="00B41C2F" w14:paraId="4FB6C4EB" w14:textId="77777777" w:rsidTr="00B15518">
        <w:trPr>
          <w:trHeight w:val="171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B8AD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CA5F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18"/>
                <w:szCs w:val="18"/>
              </w:rPr>
            </w:pPr>
            <w:r w:rsidRPr="00B41C2F">
              <w:rPr>
                <w:rFonts w:eastAsia="Times New Roman"/>
                <w:sz w:val="18"/>
                <w:szCs w:val="18"/>
              </w:rPr>
              <w:t>Analyses are performed on samples which underwent loss on ignition (at 1000  °C). Data are then recalculated for the whole sample.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C5C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FB10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4F08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</w:tr>
      <w:tr w:rsidR="00B15518" w:rsidRPr="00B41C2F" w14:paraId="714F5F94" w14:textId="77777777" w:rsidTr="00B15518">
        <w:trPr>
          <w:gridAfter w:val="1"/>
          <w:wAfter w:w="11" w:type="dxa"/>
          <w:trHeight w:val="171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4224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1F97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CCC1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ED58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0BA8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8D5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E430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D2FE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0DAD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708C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AEBC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3025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F114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6D01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</w:tr>
      <w:tr w:rsidR="00B15518" w:rsidRPr="00B41C2F" w14:paraId="5D8EDDBC" w14:textId="77777777" w:rsidTr="00B15518">
        <w:trPr>
          <w:gridAfter w:val="1"/>
          <w:wAfter w:w="11" w:type="dxa"/>
          <w:trHeight w:val="171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B504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24DC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CD90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C549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4F4C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DEEA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9BB5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73C1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7679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E51C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4541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9F89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2B35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3AF7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</w:tr>
      <w:tr w:rsidR="00B41C2F" w:rsidRPr="00B41C2F" w14:paraId="0AC8C370" w14:textId="77777777" w:rsidTr="00B15518">
        <w:trPr>
          <w:trHeight w:val="17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647D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FE87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18"/>
                <w:szCs w:val="18"/>
              </w:rPr>
            </w:pPr>
            <w:r w:rsidRPr="00B41C2F">
              <w:rPr>
                <w:rFonts w:eastAsia="Times New Roman"/>
                <w:sz w:val="18"/>
                <w:szCs w:val="18"/>
              </w:rPr>
              <w:t>Estimated detection limits, based on 10 times the standard deviation of repeat analyses on RM PCC-1 (USGS). All values are given in µgg-1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6932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6912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</w:tr>
      <w:tr w:rsidR="00B15518" w:rsidRPr="00B41C2F" w14:paraId="24143ED6" w14:textId="77777777" w:rsidTr="00B15518">
        <w:trPr>
          <w:gridAfter w:val="1"/>
          <w:wAfter w:w="11" w:type="dxa"/>
          <w:trHeight w:val="17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68BE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1EB0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Be</w:t>
            </w: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FB5D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E5D1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Zr</w:t>
            </w:r>
          </w:p>
        </w:tc>
        <w:tc>
          <w:tcPr>
            <w:tcW w:w="55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6443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Nb</w:t>
            </w:r>
          </w:p>
        </w:tc>
        <w:tc>
          <w:tcPr>
            <w:tcW w:w="55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0FF2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Cs</w:t>
            </w:r>
          </w:p>
        </w:tc>
        <w:tc>
          <w:tcPr>
            <w:tcW w:w="52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73D6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Ba</w:t>
            </w:r>
          </w:p>
        </w:tc>
        <w:tc>
          <w:tcPr>
            <w:tcW w:w="55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7FB4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La</w:t>
            </w:r>
          </w:p>
        </w:tc>
        <w:tc>
          <w:tcPr>
            <w:tcW w:w="55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079E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5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E91A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Pr</w:t>
            </w:r>
          </w:p>
        </w:tc>
        <w:tc>
          <w:tcPr>
            <w:tcW w:w="553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66D5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D1CC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Sm</w:t>
            </w:r>
          </w:p>
        </w:tc>
        <w:tc>
          <w:tcPr>
            <w:tcW w:w="55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3F7A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Eu</w:t>
            </w:r>
          </w:p>
        </w:tc>
        <w:tc>
          <w:tcPr>
            <w:tcW w:w="55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DFEB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Gd</w:t>
            </w:r>
          </w:p>
        </w:tc>
      </w:tr>
      <w:tr w:rsidR="00B15518" w:rsidRPr="00B41C2F" w14:paraId="759EA92A" w14:textId="77777777" w:rsidTr="00B15518">
        <w:trPr>
          <w:gridAfter w:val="1"/>
          <w:wAfter w:w="11" w:type="dxa"/>
          <w:trHeight w:val="171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67D7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839D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F614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2126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9E60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8E1B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9BB8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A9A0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396A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6CA1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1D27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31A3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3D91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A730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</w:tr>
      <w:tr w:rsidR="00B15518" w:rsidRPr="00B41C2F" w14:paraId="1FAC1135" w14:textId="77777777" w:rsidTr="00B15518">
        <w:trPr>
          <w:gridAfter w:val="1"/>
          <w:wAfter w:w="11" w:type="dxa"/>
          <w:trHeight w:val="17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A119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2B33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2BAE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0.2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781E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5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02CC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0.07</w:t>
            </w:r>
          </w:p>
        </w:tc>
        <w:tc>
          <w:tcPr>
            <w:tcW w:w="5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152B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0.4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C9EB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0.9</w:t>
            </w:r>
          </w:p>
        </w:tc>
        <w:tc>
          <w:tcPr>
            <w:tcW w:w="5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1829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0.1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A3EC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9C6F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0.03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0001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0.21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EA3F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0.13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6274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E7BC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0.3</w:t>
            </w:r>
          </w:p>
        </w:tc>
      </w:tr>
      <w:tr w:rsidR="00B15518" w:rsidRPr="00B41C2F" w14:paraId="4F5E4FA8" w14:textId="77777777" w:rsidTr="00B15518">
        <w:trPr>
          <w:gridAfter w:val="1"/>
          <w:wAfter w:w="11" w:type="dxa"/>
          <w:trHeight w:val="18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E609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C190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6012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5334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C25D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46C5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DD5E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24E8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B63E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39D2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0A32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295C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7861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DF6E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</w:tr>
      <w:tr w:rsidR="00B15518" w:rsidRPr="00B41C2F" w14:paraId="13F0F986" w14:textId="77777777" w:rsidTr="00B15518">
        <w:trPr>
          <w:gridAfter w:val="1"/>
          <w:wAfter w:w="11" w:type="dxa"/>
          <w:trHeight w:val="17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D1EB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right"/>
              <w:textAlignment w:val="auto"/>
              <w:outlineLvl w:val="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282D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Tb</w:t>
            </w: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6F1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Dy</w:t>
            </w:r>
          </w:p>
        </w:tc>
        <w:tc>
          <w:tcPr>
            <w:tcW w:w="55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85EA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Ho</w:t>
            </w:r>
          </w:p>
        </w:tc>
        <w:tc>
          <w:tcPr>
            <w:tcW w:w="55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5518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55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79EB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52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247B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Yb</w:t>
            </w:r>
          </w:p>
        </w:tc>
        <w:tc>
          <w:tcPr>
            <w:tcW w:w="55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631E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Lu</w:t>
            </w:r>
          </w:p>
        </w:tc>
        <w:tc>
          <w:tcPr>
            <w:tcW w:w="55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46F8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Hf</w:t>
            </w:r>
          </w:p>
        </w:tc>
        <w:tc>
          <w:tcPr>
            <w:tcW w:w="55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8677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Ta</w:t>
            </w:r>
          </w:p>
        </w:tc>
        <w:tc>
          <w:tcPr>
            <w:tcW w:w="553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4C0F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551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CA92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Bi</w:t>
            </w:r>
          </w:p>
        </w:tc>
        <w:tc>
          <w:tcPr>
            <w:tcW w:w="55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04E8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55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DECC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  <w:r w:rsidRPr="00B41C2F">
              <w:rPr>
                <w:rFonts w:eastAsia="Times New Roman"/>
                <w:b/>
                <w:bCs/>
                <w:sz w:val="18"/>
                <w:szCs w:val="18"/>
              </w:rPr>
              <w:t>U</w:t>
            </w:r>
          </w:p>
        </w:tc>
      </w:tr>
      <w:tr w:rsidR="00B15518" w:rsidRPr="00B41C2F" w14:paraId="1B379F89" w14:textId="77777777" w:rsidTr="00B15518">
        <w:trPr>
          <w:gridAfter w:val="1"/>
          <w:wAfter w:w="11" w:type="dxa"/>
          <w:trHeight w:val="171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531D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3350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4B3F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78CA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D379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86A0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6E69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7429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FD58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F880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370B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7418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810E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C2BD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  <w:r w:rsidRPr="00B41C2F"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  <w:t></w:t>
            </w:r>
            <w:r w:rsidRPr="00B41C2F">
              <w:rPr>
                <w:rFonts w:eastAsia="Times New Roman"/>
                <w:i/>
                <w:iCs/>
                <w:sz w:val="18"/>
                <w:szCs w:val="18"/>
              </w:rPr>
              <w:t>g/g</w:t>
            </w:r>
          </w:p>
        </w:tc>
      </w:tr>
      <w:tr w:rsidR="00B15518" w:rsidRPr="00B41C2F" w14:paraId="53AC2874" w14:textId="77777777" w:rsidTr="00B15518">
        <w:trPr>
          <w:gridAfter w:val="1"/>
          <w:wAfter w:w="11" w:type="dxa"/>
          <w:trHeight w:val="17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FA33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Symbol" w:eastAsia="Times New Roman" w:hAnsi="Symbol" w:cs="Calibri"/>
                <w:i/>
                <w:iCs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4F8A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0.04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593E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0.16</w:t>
            </w:r>
          </w:p>
        </w:tc>
        <w:tc>
          <w:tcPr>
            <w:tcW w:w="5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7FF4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0.04</w:t>
            </w:r>
          </w:p>
        </w:tc>
        <w:tc>
          <w:tcPr>
            <w:tcW w:w="5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AB13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0.09</w:t>
            </w:r>
          </w:p>
        </w:tc>
        <w:tc>
          <w:tcPr>
            <w:tcW w:w="5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E646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0.04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D443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0.2</w:t>
            </w:r>
          </w:p>
        </w:tc>
        <w:tc>
          <w:tcPr>
            <w:tcW w:w="5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D719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0.04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9BDE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0.13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7FEB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0.04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4644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8E1E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18EC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F1AC" w14:textId="77777777" w:rsidR="00B41C2F" w:rsidRPr="00B41C2F" w:rsidRDefault="00B41C2F" w:rsidP="00B41C2F">
            <w:pPr>
              <w:widowControl/>
              <w:shd w:val="clear" w:color="auto" w:fill="auto"/>
              <w:spacing w:line="240" w:lineRule="auto"/>
              <w:jc w:val="center"/>
              <w:textAlignment w:val="auto"/>
              <w:outlineLvl w:val="9"/>
              <w:rPr>
                <w:rFonts w:ascii="Arial" w:eastAsia="Times New Roman" w:hAnsi="Arial" w:cs="Arial"/>
                <w:sz w:val="18"/>
                <w:szCs w:val="18"/>
              </w:rPr>
            </w:pPr>
            <w:r w:rsidRPr="00B41C2F">
              <w:rPr>
                <w:rFonts w:ascii="Arial" w:eastAsia="Times New Roman" w:hAnsi="Arial" w:cs="Arial"/>
                <w:sz w:val="18"/>
                <w:szCs w:val="18"/>
              </w:rPr>
              <w:t>0.01</w:t>
            </w:r>
          </w:p>
        </w:tc>
      </w:tr>
    </w:tbl>
    <w:p w14:paraId="19769555" w14:textId="77777777" w:rsidR="006431CA" w:rsidRPr="006431CA" w:rsidRDefault="006431CA" w:rsidP="00CC0872">
      <w:pPr>
        <w:rPr>
          <w:i/>
          <w:iCs/>
        </w:rPr>
      </w:pPr>
    </w:p>
    <w:p w14:paraId="6646F832" w14:textId="154C8DE7" w:rsidR="00DC178A" w:rsidRPr="00DC178A" w:rsidRDefault="00DC178A" w:rsidP="00DC178A">
      <w:pPr>
        <w:spacing w:line="240" w:lineRule="auto"/>
        <w:contextualSpacing/>
        <w:jc w:val="both"/>
        <w:rPr>
          <w:u w:val="single"/>
        </w:rPr>
      </w:pPr>
      <w:r>
        <w:rPr>
          <w:u w:val="single"/>
        </w:rPr>
        <w:t>Microprobe analyses</w:t>
      </w:r>
      <w:r w:rsidRPr="00DC178A">
        <w:rPr>
          <w:u w:val="single"/>
        </w:rPr>
        <w:t xml:space="preserve"> at the N</w:t>
      </w:r>
      <w:r>
        <w:rPr>
          <w:u w:val="single"/>
        </w:rPr>
        <w:t>TNU</w:t>
      </w:r>
      <w:r w:rsidRPr="00DC178A">
        <w:rPr>
          <w:u w:val="single"/>
        </w:rPr>
        <w:t xml:space="preserve"> (Norway)</w:t>
      </w:r>
    </w:p>
    <w:p w14:paraId="2D942344" w14:textId="6E482B86" w:rsidR="009C0D02" w:rsidRPr="00A409F8" w:rsidRDefault="009C0D02" w:rsidP="00DC178A">
      <w:pPr>
        <w:spacing w:line="240" w:lineRule="auto"/>
        <w:contextualSpacing/>
        <w:jc w:val="both"/>
        <w:rPr>
          <w:b/>
          <w:bCs/>
        </w:rPr>
      </w:pPr>
      <w:r>
        <w:rPr>
          <w:lang w:val="en-GB"/>
        </w:rPr>
        <w:t>Microprobe data</w:t>
      </w:r>
      <w:r w:rsidR="009802EF">
        <w:rPr>
          <w:lang w:val="en-GB"/>
        </w:rPr>
        <w:t xml:space="preserve"> on apatite</w:t>
      </w:r>
      <w:r>
        <w:rPr>
          <w:lang w:val="en-GB"/>
        </w:rPr>
        <w:t xml:space="preserve"> were acquired on a </w:t>
      </w:r>
      <w:r w:rsidRPr="00B93FBF">
        <w:rPr>
          <w:lang w:val="en-GB"/>
        </w:rPr>
        <w:t>JEOL JXF-8530F PLUS microprobe</w:t>
      </w:r>
      <w:r>
        <w:rPr>
          <w:lang w:val="en-GB"/>
        </w:rPr>
        <w:t xml:space="preserve">, at the Norwegian University of Science and Technology. The operating conditions were set at 15 kV and 10 nA, using a focused beam of </w:t>
      </w:r>
      <w:r w:rsidR="00DC7F69">
        <w:rPr>
          <w:lang w:val="en-GB"/>
        </w:rPr>
        <w:t>3</w:t>
      </w:r>
      <w:r>
        <w:rPr>
          <w:lang w:val="en-GB"/>
        </w:rPr>
        <w:t xml:space="preserve"> µm. </w:t>
      </w:r>
    </w:p>
    <w:p w14:paraId="2719A419" w14:textId="77777777" w:rsidR="009C0D02" w:rsidRPr="00A409F8" w:rsidRDefault="009C0D02" w:rsidP="009C0D02">
      <w:pPr>
        <w:contextualSpacing/>
        <w:rPr>
          <w:b/>
          <w:bCs/>
        </w:rPr>
      </w:pPr>
    </w:p>
    <w:p w14:paraId="1FF8D7DC" w14:textId="61BA1D9D" w:rsidR="00DC178A" w:rsidRDefault="00DC178A" w:rsidP="00DC178A">
      <w:pPr>
        <w:spacing w:line="240" w:lineRule="auto"/>
        <w:jc w:val="both"/>
        <w:rPr>
          <w:u w:val="single"/>
        </w:rPr>
      </w:pPr>
      <w:r>
        <w:rPr>
          <w:u w:val="single"/>
        </w:rPr>
        <w:t>LA-ICPMS</w:t>
      </w:r>
      <w:r w:rsidRPr="00DC178A">
        <w:rPr>
          <w:u w:val="single"/>
        </w:rPr>
        <w:t xml:space="preserve"> at the N</w:t>
      </w:r>
      <w:r>
        <w:rPr>
          <w:u w:val="single"/>
        </w:rPr>
        <w:t>GU</w:t>
      </w:r>
      <w:r w:rsidRPr="00DC178A">
        <w:rPr>
          <w:u w:val="single"/>
        </w:rPr>
        <w:t xml:space="preserve"> (Norway)</w:t>
      </w:r>
    </w:p>
    <w:p w14:paraId="324C7BA1" w14:textId="65844FDE" w:rsidR="009C0D02" w:rsidRPr="00DC178A" w:rsidRDefault="009C0D02" w:rsidP="00DC178A">
      <w:pPr>
        <w:spacing w:line="240" w:lineRule="auto"/>
        <w:jc w:val="both"/>
      </w:pPr>
      <w:r w:rsidRPr="00DC178A">
        <w:t>Trace element analyses of apatite were performed by LA ICP-MS at the Geological Survey of Norway using a Photon Machines 193 nm excimer laser coupled to an Agilent 8900 QqQ-ICP-MS. A 25-</w:t>
      </w:r>
      <w:r w:rsidRPr="00DC178A">
        <w:sym w:font="Symbol" w:char="F06D"/>
      </w:r>
      <w:r w:rsidRPr="00DC178A">
        <w:t>m-diameter beam was used to ablate pits using a fluence of ~3.5 J/cm</w:t>
      </w:r>
      <w:r w:rsidRPr="00DC178A">
        <w:rPr>
          <w:vertAlign w:val="superscript"/>
        </w:rPr>
        <w:t>2</w:t>
      </w:r>
      <w:r w:rsidRPr="00DC178A">
        <w:t xml:space="preserve"> and repetition rate of 6 Hz. Ablations were carried out in a two-volume laser cell with a He atmosphere, and ablated material was transported in a He carrier gas and mixed with Ar just before entering the ICP torch. Twenty-five-second ablations were preceded by 20-s “gas-blank” baselines and followed by 5-s washout periods. The following analytes were measured with 10.3 ms dwell times, resulting in a duty cycle of ca. 0.393 s: </w:t>
      </w:r>
      <w:r w:rsidRPr="00DC178A">
        <w:rPr>
          <w:vertAlign w:val="superscript"/>
        </w:rPr>
        <w:t>29</w:t>
      </w:r>
      <w:r w:rsidRPr="00DC178A">
        <w:t xml:space="preserve">Si, </w:t>
      </w:r>
      <w:r w:rsidRPr="00DC178A">
        <w:rPr>
          <w:vertAlign w:val="superscript"/>
        </w:rPr>
        <w:t>31</w:t>
      </w:r>
      <w:r w:rsidRPr="00DC178A">
        <w:t xml:space="preserve">P, </w:t>
      </w:r>
      <w:r w:rsidRPr="00DC178A">
        <w:rPr>
          <w:vertAlign w:val="superscript"/>
        </w:rPr>
        <w:t>35</w:t>
      </w:r>
      <w:r w:rsidRPr="00DC178A">
        <w:t xml:space="preserve">Cl, </w:t>
      </w:r>
      <w:r w:rsidRPr="00DC178A">
        <w:rPr>
          <w:vertAlign w:val="superscript"/>
        </w:rPr>
        <w:t>43</w:t>
      </w:r>
      <w:r w:rsidRPr="00DC178A">
        <w:t xml:space="preserve">Ca, </w:t>
      </w:r>
      <w:r w:rsidRPr="00DC178A">
        <w:rPr>
          <w:vertAlign w:val="superscript"/>
        </w:rPr>
        <w:t>44</w:t>
      </w:r>
      <w:r w:rsidRPr="00DC178A">
        <w:t xml:space="preserve">Ca, </w:t>
      </w:r>
      <w:r w:rsidRPr="00DC178A">
        <w:rPr>
          <w:vertAlign w:val="superscript"/>
        </w:rPr>
        <w:t>47</w:t>
      </w:r>
      <w:r w:rsidRPr="00DC178A">
        <w:t xml:space="preserve">Ti, </w:t>
      </w:r>
      <w:r w:rsidRPr="00DC178A">
        <w:rPr>
          <w:vertAlign w:val="superscript"/>
        </w:rPr>
        <w:t>49</w:t>
      </w:r>
      <w:r w:rsidRPr="00DC178A">
        <w:t xml:space="preserve">Ti, </w:t>
      </w:r>
      <w:r w:rsidRPr="00DC178A">
        <w:rPr>
          <w:vertAlign w:val="superscript"/>
        </w:rPr>
        <w:t>51</w:t>
      </w:r>
      <w:r w:rsidRPr="00DC178A">
        <w:t xml:space="preserve">V, </w:t>
      </w:r>
      <w:r w:rsidRPr="00DC178A">
        <w:rPr>
          <w:vertAlign w:val="superscript"/>
        </w:rPr>
        <w:t>55</w:t>
      </w:r>
      <w:r w:rsidRPr="00DC178A">
        <w:t xml:space="preserve">Mn, </w:t>
      </w:r>
      <w:r w:rsidRPr="00DC178A">
        <w:rPr>
          <w:vertAlign w:val="superscript"/>
        </w:rPr>
        <w:t>75</w:t>
      </w:r>
      <w:r w:rsidRPr="00DC178A">
        <w:t xml:space="preserve">As, </w:t>
      </w:r>
      <w:r w:rsidRPr="00DC178A">
        <w:rPr>
          <w:vertAlign w:val="superscript"/>
        </w:rPr>
        <w:t>88</w:t>
      </w:r>
      <w:r w:rsidRPr="00DC178A">
        <w:t xml:space="preserve">Sr, </w:t>
      </w:r>
      <w:r w:rsidRPr="00DC178A">
        <w:rPr>
          <w:vertAlign w:val="superscript"/>
        </w:rPr>
        <w:t>89</w:t>
      </w:r>
      <w:r w:rsidRPr="00DC178A">
        <w:t xml:space="preserve">Y, </w:t>
      </w:r>
      <w:r w:rsidRPr="00DC178A">
        <w:rPr>
          <w:vertAlign w:val="superscript"/>
        </w:rPr>
        <w:t>90</w:t>
      </w:r>
      <w:r w:rsidRPr="00DC178A">
        <w:t xml:space="preserve">Zr, </w:t>
      </w:r>
      <w:r w:rsidRPr="00DC178A">
        <w:rPr>
          <w:vertAlign w:val="superscript"/>
        </w:rPr>
        <w:t>111</w:t>
      </w:r>
      <w:r w:rsidRPr="00DC178A">
        <w:t xml:space="preserve">Cd, </w:t>
      </w:r>
      <w:r w:rsidRPr="00DC178A">
        <w:rPr>
          <w:vertAlign w:val="superscript"/>
        </w:rPr>
        <w:t>137</w:t>
      </w:r>
      <w:r w:rsidRPr="00DC178A">
        <w:t xml:space="preserve">Ba, </w:t>
      </w:r>
      <w:r w:rsidRPr="00DC178A">
        <w:rPr>
          <w:vertAlign w:val="superscript"/>
        </w:rPr>
        <w:t>139</w:t>
      </w:r>
      <w:r w:rsidRPr="00DC178A">
        <w:t xml:space="preserve">La, </w:t>
      </w:r>
      <w:r w:rsidRPr="00DC178A">
        <w:rPr>
          <w:vertAlign w:val="superscript"/>
        </w:rPr>
        <w:t>140</w:t>
      </w:r>
      <w:r w:rsidRPr="00DC178A">
        <w:t xml:space="preserve">Ce, </w:t>
      </w:r>
      <w:r w:rsidRPr="00DC178A">
        <w:rPr>
          <w:vertAlign w:val="superscript"/>
        </w:rPr>
        <w:t>141</w:t>
      </w:r>
      <w:r w:rsidRPr="00DC178A">
        <w:t xml:space="preserve">Pr, </w:t>
      </w:r>
      <w:r w:rsidRPr="00DC178A">
        <w:rPr>
          <w:vertAlign w:val="superscript"/>
        </w:rPr>
        <w:t>146</w:t>
      </w:r>
      <w:r w:rsidRPr="00DC178A">
        <w:t xml:space="preserve">Nd, </w:t>
      </w:r>
      <w:r w:rsidRPr="00DC178A">
        <w:rPr>
          <w:vertAlign w:val="superscript"/>
        </w:rPr>
        <w:t>147</w:t>
      </w:r>
      <w:r w:rsidRPr="00DC178A">
        <w:t xml:space="preserve">Sm, </w:t>
      </w:r>
      <w:r w:rsidRPr="00DC178A">
        <w:rPr>
          <w:vertAlign w:val="superscript"/>
        </w:rPr>
        <w:t>153</w:t>
      </w:r>
      <w:r w:rsidRPr="00DC178A">
        <w:t xml:space="preserve">Eu, </w:t>
      </w:r>
      <w:r w:rsidRPr="00DC178A">
        <w:rPr>
          <w:vertAlign w:val="superscript"/>
        </w:rPr>
        <w:t>157</w:t>
      </w:r>
      <w:r w:rsidRPr="00DC178A">
        <w:t xml:space="preserve">Gd, </w:t>
      </w:r>
      <w:r w:rsidRPr="00DC178A">
        <w:rPr>
          <w:vertAlign w:val="superscript"/>
        </w:rPr>
        <w:t>159</w:t>
      </w:r>
      <w:r w:rsidRPr="00DC178A">
        <w:t xml:space="preserve">Tb, </w:t>
      </w:r>
      <w:r w:rsidRPr="00DC178A">
        <w:rPr>
          <w:vertAlign w:val="superscript"/>
        </w:rPr>
        <w:t>163</w:t>
      </w:r>
      <w:r w:rsidRPr="00DC178A">
        <w:t xml:space="preserve">Dy, </w:t>
      </w:r>
      <w:r w:rsidRPr="00DC178A">
        <w:rPr>
          <w:vertAlign w:val="superscript"/>
        </w:rPr>
        <w:t>165</w:t>
      </w:r>
      <w:r w:rsidRPr="00DC178A">
        <w:t xml:space="preserve">Ho, </w:t>
      </w:r>
      <w:r w:rsidRPr="00DC178A">
        <w:rPr>
          <w:vertAlign w:val="superscript"/>
        </w:rPr>
        <w:t>166</w:t>
      </w:r>
      <w:r w:rsidRPr="00DC178A">
        <w:t xml:space="preserve">Er, </w:t>
      </w:r>
      <w:r w:rsidRPr="00DC178A">
        <w:rPr>
          <w:vertAlign w:val="superscript"/>
        </w:rPr>
        <w:t>169</w:t>
      </w:r>
      <w:r w:rsidRPr="00DC178A">
        <w:t xml:space="preserve">Tm, </w:t>
      </w:r>
      <w:r w:rsidRPr="00DC178A">
        <w:rPr>
          <w:vertAlign w:val="superscript"/>
        </w:rPr>
        <w:t>172</w:t>
      </w:r>
      <w:r w:rsidRPr="00DC178A">
        <w:t xml:space="preserve">Yb, </w:t>
      </w:r>
      <w:r w:rsidRPr="00DC178A">
        <w:rPr>
          <w:vertAlign w:val="superscript"/>
        </w:rPr>
        <w:t>175</w:t>
      </w:r>
      <w:r w:rsidRPr="00DC178A">
        <w:t xml:space="preserve">Lu, </w:t>
      </w:r>
      <w:r w:rsidRPr="00DC178A">
        <w:rPr>
          <w:vertAlign w:val="superscript"/>
        </w:rPr>
        <w:t>206</w:t>
      </w:r>
      <w:r w:rsidRPr="00DC178A">
        <w:t xml:space="preserve">Pb, </w:t>
      </w:r>
      <w:r w:rsidRPr="00DC178A">
        <w:rPr>
          <w:vertAlign w:val="superscript"/>
        </w:rPr>
        <w:t>207</w:t>
      </w:r>
      <w:r w:rsidRPr="00DC178A">
        <w:t xml:space="preserve">Pb, </w:t>
      </w:r>
      <w:r w:rsidRPr="00DC178A">
        <w:rPr>
          <w:vertAlign w:val="superscript"/>
        </w:rPr>
        <w:t>208</w:t>
      </w:r>
      <w:r w:rsidRPr="00DC178A">
        <w:t xml:space="preserve">Pb, </w:t>
      </w:r>
      <w:r w:rsidRPr="00DC178A">
        <w:rPr>
          <w:vertAlign w:val="superscript"/>
        </w:rPr>
        <w:t>232</w:t>
      </w:r>
      <w:r w:rsidRPr="00DC178A">
        <w:t xml:space="preserve">Th, </w:t>
      </w:r>
      <w:r w:rsidRPr="00DC178A">
        <w:rPr>
          <w:vertAlign w:val="superscript"/>
        </w:rPr>
        <w:t>238</w:t>
      </w:r>
      <w:r w:rsidRPr="00DC178A">
        <w:t xml:space="preserve">U, </w:t>
      </w:r>
      <w:r w:rsidRPr="00DC178A">
        <w:rPr>
          <w:vertAlign w:val="superscript"/>
        </w:rPr>
        <w:t>248</w:t>
      </w:r>
      <w:r w:rsidRPr="00DC178A">
        <w:t>(ThO). The NIST 612 reference glass</w:t>
      </w:r>
      <w:r w:rsidRPr="00DC178A">
        <w:sym w:font="Symbol" w:char="F0BE"/>
      </w:r>
      <w:r w:rsidRPr="00DC178A">
        <w:t>used to calibrate sensitivity factors for most elements</w:t>
      </w:r>
      <w:r w:rsidRPr="00DC178A">
        <w:sym w:font="Symbol" w:char="F0BE"/>
      </w:r>
      <w:r w:rsidRPr="00DC178A">
        <w:t>was analyzed at the beginning and end of each run, as well as bracketing every 8</w:t>
      </w:r>
      <w:r w:rsidRPr="00DC178A">
        <w:sym w:font="Symbol" w:char="F02D"/>
      </w:r>
      <w:r w:rsidRPr="00DC178A">
        <w:t xml:space="preserve">13 analyses of unknowns and other quality-control ("secondary") glass and apatite reference materials. </w:t>
      </w:r>
    </w:p>
    <w:p w14:paraId="3B2F9E2A" w14:textId="77777777" w:rsidR="009C0D02" w:rsidRPr="00DC178A" w:rsidRDefault="009C0D02" w:rsidP="00DC178A">
      <w:pPr>
        <w:spacing w:line="240" w:lineRule="auto"/>
        <w:jc w:val="both"/>
        <w:outlineLvl w:val="9"/>
      </w:pPr>
      <w:r w:rsidRPr="00DC178A">
        <w:t xml:space="preserve">Data reduction was carried out using the “Trace Elements” data reduction scheme in Iolite 4. On-peak gas-blank baselines were fit with an “automatic spline” and subtracted from each channel. Calcium-43 was used as an internal elemental standard. The NIST 612 reference glass was used to calibrate ratios in sensitivity between each analyte and </w:t>
      </w:r>
      <w:r w:rsidRPr="00DC178A">
        <w:rPr>
          <w:vertAlign w:val="superscript"/>
        </w:rPr>
        <w:t>43</w:t>
      </w:r>
      <w:r w:rsidRPr="00DC178A">
        <w:t xml:space="preserve">Ca, except for </w:t>
      </w:r>
      <w:r w:rsidRPr="00DC178A">
        <w:rPr>
          <w:vertAlign w:val="superscript"/>
        </w:rPr>
        <w:t>35</w:t>
      </w:r>
      <w:r w:rsidRPr="00DC178A">
        <w:t xml:space="preserve">Cl, for which the “Dur-DonG” reference apatite (Chew </w:t>
      </w:r>
      <w:r w:rsidRPr="00DC178A">
        <w:rPr>
          <w:i/>
          <w:iCs/>
        </w:rPr>
        <w:t>et al.</w:t>
      </w:r>
      <w:r w:rsidRPr="00DC178A">
        <w:t xml:space="preserve">, 2016) was used. The Cl concentration of the Dur-DonG apatite fraction is not known, and so a Cl content of 4000 ppm (the average of values reported for another fraction of Durango apatite by Chew </w:t>
      </w:r>
      <w:r w:rsidRPr="00DC178A">
        <w:rPr>
          <w:i/>
          <w:iCs/>
        </w:rPr>
        <w:t>et al.</w:t>
      </w:r>
      <w:r w:rsidRPr="00DC178A">
        <w:t xml:space="preserve">, 2014) was used here. For this reason, Cl determinations are considered only semi-quantitative. Because Pb in apatite is variably radiogenic, an assumed common-Pb isotopic composition cannot be used to calculate Pb concentration from individual Pb isotopes, and therefore the total </w:t>
      </w:r>
      <w:r w:rsidRPr="00DC178A">
        <w:rPr>
          <w:vertAlign w:val="superscript"/>
        </w:rPr>
        <w:t>206</w:t>
      </w:r>
      <w:r w:rsidRPr="00DC178A">
        <w:t>Pb+</w:t>
      </w:r>
      <w:r w:rsidRPr="00DC178A">
        <w:rPr>
          <w:vertAlign w:val="superscript"/>
        </w:rPr>
        <w:t>207</w:t>
      </w:r>
      <w:r w:rsidRPr="00DC178A">
        <w:t>Pb+</w:t>
      </w:r>
      <w:r w:rsidRPr="00DC178A">
        <w:rPr>
          <w:vertAlign w:val="superscript"/>
        </w:rPr>
        <w:t>208</w:t>
      </w:r>
      <w:r w:rsidRPr="00DC178A">
        <w:t xml:space="preserve">Pb signal was used to calculate the "PbTotal" concentration. Limits of detection were calculated with the method outlined by Pettke </w:t>
      </w:r>
      <w:r w:rsidRPr="00DC178A">
        <w:rPr>
          <w:i/>
          <w:iCs/>
        </w:rPr>
        <w:t>et al</w:t>
      </w:r>
      <w:r w:rsidRPr="00DC178A">
        <w:t xml:space="preserve">., (2012). The NIST 610 and GSE reference glasses (GeoReM preferred reference concentrations and average EPMA Cl concentrations from Marks </w:t>
      </w:r>
      <w:r w:rsidRPr="00DC178A">
        <w:rPr>
          <w:i/>
          <w:iCs/>
        </w:rPr>
        <w:t>et al.</w:t>
      </w:r>
      <w:r w:rsidRPr="00DC178A">
        <w:t xml:space="preserve">, 2017) and Dur-DonG and McClure Mountain reference apatite (fractions characterized by Chew </w:t>
      </w:r>
      <w:r w:rsidRPr="00DC178A">
        <w:rPr>
          <w:i/>
          <w:iCs/>
        </w:rPr>
        <w:t>et al.</w:t>
      </w:r>
      <w:r w:rsidRPr="00DC178A">
        <w:t xml:space="preserve">, 2016) were used to assess data accuracy and repeatability. </w:t>
      </w:r>
    </w:p>
    <w:p w14:paraId="2CD38075" w14:textId="77777777" w:rsidR="009C0D02" w:rsidRPr="00DC178A" w:rsidRDefault="009C0D02" w:rsidP="00DC178A">
      <w:pPr>
        <w:spacing w:line="240" w:lineRule="auto"/>
        <w:jc w:val="both"/>
        <w:outlineLvl w:val="9"/>
      </w:pPr>
      <w:r w:rsidRPr="00DC178A">
        <w:t>Elemental concentrations determined for the secondary glass reference materials were accurate to within 15% (typically within 5</w:t>
      </w:r>
      <w:r w:rsidRPr="00DC178A">
        <w:sym w:font="Symbol" w:char="F02D"/>
      </w:r>
      <w:r w:rsidRPr="00DC178A">
        <w:t xml:space="preserve">10%) for most analytes, with the following exceptions: The average Cl concentration determined for NIST 610 and GSE yielded biases &gt;20% from the reference values used here. There is, however, considerable variation in the Cl concentrations determined for these glasses by various methods (Marks </w:t>
      </w:r>
      <w:r w:rsidRPr="00DC178A">
        <w:rPr>
          <w:i/>
          <w:iCs/>
        </w:rPr>
        <w:t>et al.</w:t>
      </w:r>
      <w:r w:rsidRPr="00DC178A">
        <w:t>, 2017). We consider the Cl concentrations determined here to be semi-quantitative regardless (as explained above). The average As and Cd concentrations determined for GSE are ~40% higher than the GeoReM preferred reference values. However, the reference values are quoted with ~70% and 60% uncertainties (2 RSD) for As and Cd, respectively. The As and Cd concentrations determined for NIST 610 are accurate.</w:t>
      </w:r>
    </w:p>
    <w:p w14:paraId="48F3E21E" w14:textId="77777777" w:rsidR="009C0D02" w:rsidRPr="00DC178A" w:rsidRDefault="009C0D02" w:rsidP="00DC178A">
      <w:pPr>
        <w:spacing w:line="240" w:lineRule="auto"/>
        <w:jc w:val="both"/>
        <w:outlineLvl w:val="9"/>
      </w:pPr>
      <w:r w:rsidRPr="00DC178A">
        <w:t>The secondary reference apatite used here lack reference values for Si, Cl, Ti, V, Zr, Cd, and Ba. Concentrations of the remaining analytes measured in the Dur-DonG and McClure Mountain apatite are within 15% (typically within 5</w:t>
      </w:r>
      <w:r w:rsidRPr="00DC178A">
        <w:sym w:font="Symbol" w:char="F02D"/>
      </w:r>
      <w:r w:rsidRPr="00DC178A">
        <w:t xml:space="preserve">10%) of the reference values from Chew and co-authors (2016), except for As and Pb. Significant variation in the As and Pb contents of these apatite fractions were identified by Chew and co-authors (2016). There is much greater variance (typically &gt;50% 2 RSD) in the concentrations determined for the McClure Mountain apatite, but this is also consistent with the greater variance determined for this fraction by Chew and co-authors (2016). </w:t>
      </w:r>
    </w:p>
    <w:p w14:paraId="4F367C07" w14:textId="77777777" w:rsidR="009C0D02" w:rsidRPr="00DC178A" w:rsidRDefault="009C0D02" w:rsidP="00DC178A">
      <w:pPr>
        <w:spacing w:line="240" w:lineRule="auto"/>
        <w:jc w:val="both"/>
        <w:outlineLvl w:val="9"/>
      </w:pPr>
      <w:r w:rsidRPr="00DC178A">
        <w:t xml:space="preserve">There are no reference Ti concentrations for the reference apatite used here, but there are large discrepancies between the apparent Ti concentrations determined using </w:t>
      </w:r>
      <w:r w:rsidRPr="00DC178A">
        <w:rPr>
          <w:vertAlign w:val="superscript"/>
        </w:rPr>
        <w:t>47</w:t>
      </w:r>
      <w:r w:rsidRPr="00DC178A">
        <w:t xml:space="preserve">Ti and </w:t>
      </w:r>
      <w:r w:rsidRPr="00DC178A">
        <w:rPr>
          <w:vertAlign w:val="superscript"/>
        </w:rPr>
        <w:t>49</w:t>
      </w:r>
      <w:r w:rsidRPr="00DC178A">
        <w:t xml:space="preserve">Ti. Furthermore, the apparent Ti concentrations are very similar for most of the apatite measurements. The apparent Ti is likely predominately due to signal from </w:t>
      </w:r>
      <w:r w:rsidRPr="00DC178A">
        <w:rPr>
          <w:vertAlign w:val="superscript"/>
        </w:rPr>
        <w:t>31</w:t>
      </w:r>
      <w:r w:rsidRPr="00DC178A">
        <w:t>P</w:t>
      </w:r>
      <w:r w:rsidRPr="00DC178A">
        <w:rPr>
          <w:vertAlign w:val="superscript"/>
        </w:rPr>
        <w:t>16</w:t>
      </w:r>
      <w:r w:rsidRPr="00DC178A">
        <w:t xml:space="preserve">O and </w:t>
      </w:r>
      <w:r w:rsidRPr="00DC178A">
        <w:rPr>
          <w:vertAlign w:val="superscript"/>
        </w:rPr>
        <w:t>31</w:t>
      </w:r>
      <w:r w:rsidRPr="00DC178A">
        <w:t>P</w:t>
      </w:r>
      <w:r w:rsidRPr="00DC178A">
        <w:rPr>
          <w:vertAlign w:val="superscript"/>
        </w:rPr>
        <w:t>18</w:t>
      </w:r>
      <w:r w:rsidRPr="00DC178A">
        <w:t xml:space="preserve">O on masses 47 and 49. The apparent Ti concentrations are therefore disregarded here. Quantified P concentrations are also omitted but are not considered relevant, as P is a stoichiometric component in apatite. </w:t>
      </w:r>
    </w:p>
    <w:p w14:paraId="7840FE4B" w14:textId="77777777" w:rsidR="009C0D02" w:rsidRPr="00DC178A" w:rsidRDefault="009C0D02" w:rsidP="00DC178A">
      <w:pPr>
        <w:spacing w:line="240" w:lineRule="auto"/>
        <w:jc w:val="both"/>
        <w:outlineLvl w:val="9"/>
      </w:pPr>
    </w:p>
    <w:p w14:paraId="706876B5" w14:textId="77777777" w:rsidR="009C0D02" w:rsidRPr="00DC178A" w:rsidRDefault="009C0D02" w:rsidP="00DC178A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  <w:r w:rsidRPr="00DC178A"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14:paraId="729EFA82" w14:textId="77777777" w:rsidR="009C0D02" w:rsidRPr="00DC178A" w:rsidRDefault="009C0D02" w:rsidP="00DC178A">
      <w:pPr>
        <w:spacing w:line="240" w:lineRule="auto"/>
        <w:jc w:val="both"/>
        <w:outlineLvl w:val="9"/>
      </w:pPr>
    </w:p>
    <w:p w14:paraId="57FD37B3" w14:textId="77777777" w:rsidR="009C0D02" w:rsidRPr="00DC178A" w:rsidRDefault="009C0D02" w:rsidP="00DC178A">
      <w:pPr>
        <w:spacing w:line="240" w:lineRule="auto"/>
        <w:jc w:val="both"/>
        <w:outlineLvl w:val="9"/>
      </w:pPr>
      <w:r w:rsidRPr="00DC178A">
        <w:t xml:space="preserve">Chew, D. M., Donelick, R. A., Donelick, M. B., Kamber, B. S. &amp; Stock, M. J. (2014). Apatite chlorine concentration measurements by LA‐ICP‐MS. </w:t>
      </w:r>
      <w:r w:rsidRPr="00DC178A">
        <w:rPr>
          <w:i/>
          <w:iCs/>
        </w:rPr>
        <w:t>Geostandards and Geoanalytical Research</w:t>
      </w:r>
      <w:r w:rsidRPr="00DC178A">
        <w:t xml:space="preserve"> </w:t>
      </w:r>
      <w:r w:rsidRPr="00DC178A">
        <w:rPr>
          <w:b/>
          <w:bCs/>
        </w:rPr>
        <w:t>38</w:t>
      </w:r>
      <w:r w:rsidRPr="00DC178A">
        <w:t>, 23</w:t>
      </w:r>
      <w:r w:rsidRPr="00DC178A">
        <w:sym w:font="Symbol" w:char="F02D"/>
      </w:r>
      <w:r w:rsidRPr="00DC178A">
        <w:t>35.</w:t>
      </w:r>
    </w:p>
    <w:p w14:paraId="284EAC37" w14:textId="77777777" w:rsidR="009C0D02" w:rsidRPr="00DC178A" w:rsidRDefault="009C0D02" w:rsidP="00DC178A">
      <w:pPr>
        <w:spacing w:line="240" w:lineRule="auto"/>
        <w:jc w:val="both"/>
        <w:outlineLvl w:val="9"/>
      </w:pPr>
    </w:p>
    <w:p w14:paraId="6D3179D1" w14:textId="77777777" w:rsidR="009C0D02" w:rsidRPr="00DC178A" w:rsidRDefault="009C0D02" w:rsidP="00DC178A">
      <w:pPr>
        <w:spacing w:line="240" w:lineRule="auto"/>
        <w:jc w:val="both"/>
        <w:outlineLvl w:val="9"/>
      </w:pPr>
      <w:r w:rsidRPr="00DC178A">
        <w:t xml:space="preserve">Chew, D. M., Babechuk, M. G., Cogné, N., Mark, C., O'Sullivan, G. J., Henrichs, I. A., Doepke, D. &amp; McKenna, C. A. (2016). (LA, Q)-ICPMS trace-element analyses of Durango and McClure Mountain apatite and implications for making natural LA-ICPMS mineral standards. </w:t>
      </w:r>
      <w:r w:rsidRPr="00DC178A">
        <w:rPr>
          <w:i/>
          <w:iCs/>
        </w:rPr>
        <w:t>Chemical Geology</w:t>
      </w:r>
      <w:r w:rsidRPr="00DC178A">
        <w:rPr>
          <w:b/>
          <w:bCs/>
        </w:rPr>
        <w:t xml:space="preserve"> 435</w:t>
      </w:r>
      <w:r w:rsidRPr="00DC178A">
        <w:t>, 35</w:t>
      </w:r>
      <w:r w:rsidRPr="00DC178A">
        <w:sym w:font="Symbol" w:char="F02D"/>
      </w:r>
      <w:r w:rsidRPr="00DC178A">
        <w:t>48.</w:t>
      </w:r>
    </w:p>
    <w:p w14:paraId="1E1B3DD7" w14:textId="77777777" w:rsidR="009C0D02" w:rsidRPr="00DC178A" w:rsidRDefault="009C0D02" w:rsidP="00DC178A">
      <w:pPr>
        <w:spacing w:line="240" w:lineRule="auto"/>
        <w:jc w:val="both"/>
        <w:outlineLvl w:val="9"/>
      </w:pPr>
    </w:p>
    <w:p w14:paraId="16201EC6" w14:textId="77777777" w:rsidR="009C0D02" w:rsidRPr="00DC178A" w:rsidRDefault="009C0D02" w:rsidP="00DC178A">
      <w:pPr>
        <w:spacing w:line="240" w:lineRule="auto"/>
        <w:jc w:val="both"/>
        <w:outlineLvl w:val="9"/>
      </w:pPr>
      <w:r w:rsidRPr="00DC178A">
        <w:t xml:space="preserve">Marks, M. A., Kendrick, M. A., Eby, G. N., Zack, T. &amp; Wenzel, T. (2017). The F, Cl, Br and I Contents of Reference Glasses BHVO‐2G, BIR‐1G, BCR‐2G, GSD‐1G, GSE‐1G, NIST SRM 610 and NIST SRM 612. </w:t>
      </w:r>
      <w:r w:rsidRPr="00DC178A">
        <w:rPr>
          <w:i/>
          <w:iCs/>
        </w:rPr>
        <w:t>Geostandards and Geoanalytical Research</w:t>
      </w:r>
      <w:r w:rsidRPr="00DC178A">
        <w:t xml:space="preserve"> </w:t>
      </w:r>
      <w:r w:rsidRPr="00DC178A">
        <w:rPr>
          <w:b/>
          <w:bCs/>
        </w:rPr>
        <w:t>41</w:t>
      </w:r>
      <w:r w:rsidRPr="00DC178A">
        <w:t>, 107</w:t>
      </w:r>
      <w:r w:rsidRPr="00DC178A">
        <w:sym w:font="Symbol" w:char="F02D"/>
      </w:r>
      <w:r w:rsidRPr="00DC178A">
        <w:t>122.</w:t>
      </w:r>
    </w:p>
    <w:p w14:paraId="139F5EBE" w14:textId="4C12954C" w:rsidR="00CE5052" w:rsidRPr="00DC178A" w:rsidRDefault="00CE5052" w:rsidP="00DC178A">
      <w:pPr>
        <w:widowControl/>
        <w:shd w:val="clear" w:color="auto" w:fill="auto"/>
        <w:spacing w:after="160" w:line="240" w:lineRule="auto"/>
        <w:jc w:val="both"/>
        <w:textAlignment w:val="auto"/>
        <w:outlineLvl w:val="9"/>
      </w:pPr>
    </w:p>
    <w:sectPr w:rsidR="00CE5052" w:rsidRPr="00DC178A" w:rsidSect="006431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3C"/>
    <w:rsid w:val="00021C79"/>
    <w:rsid w:val="00032FC1"/>
    <w:rsid w:val="000635BE"/>
    <w:rsid w:val="00082C6A"/>
    <w:rsid w:val="00121244"/>
    <w:rsid w:val="00124644"/>
    <w:rsid w:val="0018237F"/>
    <w:rsid w:val="001B479B"/>
    <w:rsid w:val="001D2251"/>
    <w:rsid w:val="00223A59"/>
    <w:rsid w:val="00296244"/>
    <w:rsid w:val="002B7C47"/>
    <w:rsid w:val="00356288"/>
    <w:rsid w:val="0037390D"/>
    <w:rsid w:val="003E4AAD"/>
    <w:rsid w:val="004C2624"/>
    <w:rsid w:val="00502567"/>
    <w:rsid w:val="005140C8"/>
    <w:rsid w:val="005A0A39"/>
    <w:rsid w:val="005D37C1"/>
    <w:rsid w:val="005D6EBC"/>
    <w:rsid w:val="0061230D"/>
    <w:rsid w:val="0063055D"/>
    <w:rsid w:val="006431CA"/>
    <w:rsid w:val="00665B26"/>
    <w:rsid w:val="00703DA7"/>
    <w:rsid w:val="007103F1"/>
    <w:rsid w:val="00710C3C"/>
    <w:rsid w:val="007169F0"/>
    <w:rsid w:val="007518E7"/>
    <w:rsid w:val="007F7E3E"/>
    <w:rsid w:val="00821B69"/>
    <w:rsid w:val="00826E8C"/>
    <w:rsid w:val="00835D55"/>
    <w:rsid w:val="008822DC"/>
    <w:rsid w:val="008B13FB"/>
    <w:rsid w:val="008B64DC"/>
    <w:rsid w:val="008B7F2B"/>
    <w:rsid w:val="00911204"/>
    <w:rsid w:val="009148DF"/>
    <w:rsid w:val="009230F4"/>
    <w:rsid w:val="009430BE"/>
    <w:rsid w:val="009802EF"/>
    <w:rsid w:val="00987148"/>
    <w:rsid w:val="009A4E74"/>
    <w:rsid w:val="009A714C"/>
    <w:rsid w:val="009B46CC"/>
    <w:rsid w:val="009C0D02"/>
    <w:rsid w:val="00A409F8"/>
    <w:rsid w:val="00A44EAE"/>
    <w:rsid w:val="00A51409"/>
    <w:rsid w:val="00A74080"/>
    <w:rsid w:val="00AC1B92"/>
    <w:rsid w:val="00B11016"/>
    <w:rsid w:val="00B15518"/>
    <w:rsid w:val="00B41C2F"/>
    <w:rsid w:val="00B643D6"/>
    <w:rsid w:val="00B66245"/>
    <w:rsid w:val="00B70750"/>
    <w:rsid w:val="00BA1A12"/>
    <w:rsid w:val="00BC5570"/>
    <w:rsid w:val="00BE3391"/>
    <w:rsid w:val="00BE3397"/>
    <w:rsid w:val="00BE3584"/>
    <w:rsid w:val="00C329C0"/>
    <w:rsid w:val="00C37B94"/>
    <w:rsid w:val="00C607B8"/>
    <w:rsid w:val="00C75DBE"/>
    <w:rsid w:val="00CC0872"/>
    <w:rsid w:val="00CE5052"/>
    <w:rsid w:val="00CF5378"/>
    <w:rsid w:val="00D85FB3"/>
    <w:rsid w:val="00DA57BB"/>
    <w:rsid w:val="00DC178A"/>
    <w:rsid w:val="00DC7F69"/>
    <w:rsid w:val="00DD5ABB"/>
    <w:rsid w:val="00E00A21"/>
    <w:rsid w:val="00E419D0"/>
    <w:rsid w:val="00E75EB1"/>
    <w:rsid w:val="00E8403B"/>
    <w:rsid w:val="00EA101F"/>
    <w:rsid w:val="00EA3CD2"/>
    <w:rsid w:val="00EF073C"/>
    <w:rsid w:val="00EF7DC1"/>
    <w:rsid w:val="00F11960"/>
    <w:rsid w:val="00F74F81"/>
    <w:rsid w:val="00FC5A87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2665"/>
  <w15:chartTrackingRefBased/>
  <w15:docId w15:val="{1E00AA61-3137-47A2-B58E-69A38892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C26"/>
    <w:pPr>
      <w:widowControl w:val="0"/>
      <w:shd w:val="clear" w:color="auto" w:fill="FFFFFF"/>
      <w:spacing w:after="0" w:line="360" w:lineRule="auto"/>
      <w:textAlignment w:val="baseline"/>
      <w:outlineLvl w:val="0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052"/>
    <w:pPr>
      <w:keepNext/>
      <w:keepLines/>
      <w:widowControl/>
      <w:shd w:val="clear" w:color="auto" w:fill="auto"/>
      <w:spacing w:before="400" w:after="40" w:line="240" w:lineRule="auto"/>
      <w:jc w:val="both"/>
      <w:textAlignment w:val="auto"/>
    </w:pPr>
    <w:rPr>
      <w:rFonts w:asciiTheme="majorHAnsi" w:hAnsiTheme="majorHAnsi" w:cstheme="majorBidi"/>
      <w:b/>
      <w:color w:val="1F3864" w:themeColor="accent1" w:themeShade="80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080"/>
    <w:pPr>
      <w:keepNext/>
      <w:keepLines/>
      <w:spacing w:before="40"/>
      <w:outlineLvl w:val="1"/>
    </w:pPr>
    <w:rPr>
      <w:rFonts w:asciiTheme="majorHAnsi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9C0"/>
    <w:pPr>
      <w:spacing w:after="0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C3C"/>
    <w:rPr>
      <w:rFonts w:ascii="Times New Roman" w:eastAsiaTheme="majorEastAsia" w:hAnsi="Times New Roman" w:cs="Times New Roman"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C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3C"/>
    <w:rPr>
      <w:rFonts w:ascii="Segoe UI" w:eastAsiaTheme="majorEastAsia" w:hAnsi="Segoe UI" w:cs="Segoe UI"/>
      <w:sz w:val="18"/>
      <w:szCs w:val="18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CE5052"/>
    <w:rPr>
      <w:rFonts w:asciiTheme="majorHAnsi" w:eastAsiaTheme="majorEastAsia" w:hAnsiTheme="majorHAnsi" w:cstheme="majorBidi"/>
      <w:b/>
      <w:color w:val="1F3864" w:themeColor="accent1" w:themeShade="80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74080"/>
    <w:rPr>
      <w:rFonts w:asciiTheme="majorHAnsi" w:eastAsiaTheme="majorEastAsia" w:hAnsiTheme="majorHAnsi" w:cstheme="majorBidi"/>
      <w:color w:val="2F5496" w:themeColor="accent1" w:themeShade="BF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3" ma:contentTypeDescription="Create a new document." ma:contentTypeScope="" ma:versionID="3d664ae9c1c238aa8d3aae842a9fe198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8ee3b7b5bfa95e204771f4fd1e03ceb2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61EF4-8B6B-417D-8B25-6329CA559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FD9F1-3E22-4760-9277-6F6C133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ced3b-310d-45b8-97bf-d36cbbb5d34b"/>
    <ds:schemaRef ds:uri="991330b7-a67c-4846-8b6a-4c888ec25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BA4FA-6BCA-4BCC-986A-4EEAF58AD402}">
  <ds:schemaRefs>
    <ds:schemaRef ds:uri="f0cced3b-310d-45b8-97bf-d36cbbb5d34b"/>
    <ds:schemaRef ds:uri="991330b7-a67c-4846-8b6a-4c888ec2572d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Hagen-Peter Graham</dc:creator>
  <cp:keywords/>
  <dc:description/>
  <cp:lastModifiedBy>Jo Armstrong</cp:lastModifiedBy>
  <cp:revision>4</cp:revision>
  <dcterms:created xsi:type="dcterms:W3CDTF">2021-10-09T17:41:00Z</dcterms:created>
  <dcterms:modified xsi:type="dcterms:W3CDTF">2022-03-24T09:14:00Z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</Properties>
</file>