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09" w:rsidRPr="004F6909" w:rsidRDefault="004F6909" w:rsidP="004F6909">
      <w:pPr>
        <w:rPr>
          <w:sz w:val="36"/>
          <w:szCs w:val="36"/>
          <w:lang w:val="en-GB"/>
        </w:rPr>
      </w:pPr>
      <w:r w:rsidRPr="004F6909">
        <w:rPr>
          <w:sz w:val="36"/>
          <w:szCs w:val="36"/>
          <w:lang w:val="en-GB"/>
        </w:rPr>
        <w:t>Supplementary Material</w:t>
      </w:r>
    </w:p>
    <w:p w:rsidR="004F6909" w:rsidRDefault="004F6909" w:rsidP="004F6909">
      <w:pPr>
        <w:rPr>
          <w:sz w:val="28"/>
          <w:szCs w:val="28"/>
          <w:lang w:val="en-GB"/>
        </w:rPr>
      </w:pPr>
    </w:p>
    <w:p w:rsidR="004F6909" w:rsidRPr="00104F12" w:rsidRDefault="004F6909" w:rsidP="004F6909">
      <w:pPr>
        <w:rPr>
          <w:sz w:val="28"/>
          <w:szCs w:val="28"/>
          <w:lang w:val="en-GB"/>
        </w:rPr>
      </w:pPr>
      <w:r w:rsidRPr="00104F12">
        <w:rPr>
          <w:sz w:val="28"/>
          <w:szCs w:val="28"/>
          <w:lang w:val="en-GB"/>
        </w:rPr>
        <w:t>Tellus Regional Surface Water Geochemistry: environmental and mineral exploration applications</w:t>
      </w:r>
    </w:p>
    <w:p w:rsidR="005D082B" w:rsidRDefault="00BB1D61"/>
    <w:p w:rsidR="004F6909" w:rsidRPr="00104F12" w:rsidRDefault="004F6909" w:rsidP="004F6909">
      <w:pPr>
        <w:rPr>
          <w:sz w:val="24"/>
          <w:szCs w:val="24"/>
          <w:lang w:val="en-GB"/>
        </w:rPr>
      </w:pPr>
    </w:p>
    <w:p w:rsidR="004F6909" w:rsidRPr="00104F12" w:rsidRDefault="004F6909" w:rsidP="004F6909">
      <w:pPr>
        <w:rPr>
          <w:sz w:val="24"/>
          <w:szCs w:val="24"/>
          <w:lang w:val="en-GB"/>
        </w:rPr>
      </w:pPr>
      <w:r w:rsidRPr="00104F12">
        <w:rPr>
          <w:sz w:val="24"/>
          <w:szCs w:val="24"/>
          <w:lang w:val="en-GB"/>
        </w:rPr>
        <w:t>V. Gallagher*</w:t>
      </w:r>
    </w:p>
    <w:p w:rsidR="004F6909" w:rsidRPr="00104F12" w:rsidRDefault="004F6909" w:rsidP="004F6909">
      <w:pPr>
        <w:rPr>
          <w:sz w:val="24"/>
          <w:szCs w:val="24"/>
          <w:lang w:val="en-GB"/>
        </w:rPr>
      </w:pPr>
      <w:r w:rsidRPr="00104F12">
        <w:rPr>
          <w:sz w:val="24"/>
          <w:szCs w:val="24"/>
          <w:lang w:val="en-GB"/>
        </w:rPr>
        <w:t xml:space="preserve">Geological Survey Ireland, Haddington Road, Dublin, </w:t>
      </w:r>
      <w:r w:rsidRPr="00104F12">
        <w:rPr>
          <w:rFonts w:ascii="Arial" w:hAnsi="Arial" w:cs="Arial"/>
          <w:color w:val="000000"/>
          <w:sz w:val="21"/>
          <w:szCs w:val="21"/>
          <w:shd w:val="clear" w:color="auto" w:fill="FFFFFF"/>
          <w:lang w:val="en-GB"/>
        </w:rPr>
        <w:t>D04 K7X4</w:t>
      </w:r>
      <w:r w:rsidRPr="00104F12">
        <w:rPr>
          <w:sz w:val="24"/>
          <w:szCs w:val="24"/>
          <w:lang w:val="en-GB"/>
        </w:rPr>
        <w:t xml:space="preserve">, Ireland. </w:t>
      </w:r>
    </w:p>
    <w:p w:rsidR="004F6909" w:rsidRPr="00104F12" w:rsidRDefault="004F6909" w:rsidP="004F6909">
      <w:pPr>
        <w:rPr>
          <w:sz w:val="24"/>
          <w:szCs w:val="24"/>
          <w:lang w:val="en-GB"/>
        </w:rPr>
      </w:pPr>
    </w:p>
    <w:p w:rsidR="004F6909" w:rsidRPr="00104F12" w:rsidRDefault="004F6909" w:rsidP="004F6909">
      <w:pPr>
        <w:rPr>
          <w:sz w:val="24"/>
          <w:szCs w:val="24"/>
          <w:lang w:val="en-GB"/>
        </w:rPr>
      </w:pPr>
      <w:r w:rsidRPr="00104F12">
        <w:rPr>
          <w:sz w:val="24"/>
          <w:szCs w:val="24"/>
          <w:lang w:val="en-GB"/>
        </w:rPr>
        <w:t>E. C. Grunsky</w:t>
      </w:r>
    </w:p>
    <w:p w:rsidR="004F6909" w:rsidRPr="00104F12" w:rsidRDefault="004F6909" w:rsidP="004F6909">
      <w:pPr>
        <w:rPr>
          <w:sz w:val="24"/>
          <w:szCs w:val="24"/>
          <w:lang w:val="en-GB"/>
        </w:rPr>
      </w:pPr>
      <w:r w:rsidRPr="00104F12">
        <w:rPr>
          <w:sz w:val="24"/>
          <w:szCs w:val="24"/>
          <w:lang w:val="en-GB"/>
        </w:rPr>
        <w:t xml:space="preserve">Geological Survey Ireland, Haddington Road, Dublin, </w:t>
      </w:r>
      <w:r w:rsidRPr="00104F12">
        <w:rPr>
          <w:rFonts w:ascii="Arial" w:hAnsi="Arial" w:cs="Arial"/>
          <w:color w:val="000000"/>
          <w:sz w:val="21"/>
          <w:szCs w:val="21"/>
          <w:shd w:val="clear" w:color="auto" w:fill="FFFFFF"/>
          <w:lang w:val="en-GB"/>
        </w:rPr>
        <w:t>D04 K7X4</w:t>
      </w:r>
      <w:r w:rsidRPr="00104F12">
        <w:rPr>
          <w:sz w:val="24"/>
          <w:szCs w:val="24"/>
          <w:lang w:val="en-GB"/>
        </w:rPr>
        <w:t>, Ireland.</w:t>
      </w:r>
    </w:p>
    <w:p w:rsidR="004F6909" w:rsidRPr="00104F12" w:rsidRDefault="004F6909" w:rsidP="004F6909">
      <w:pPr>
        <w:rPr>
          <w:sz w:val="24"/>
          <w:szCs w:val="24"/>
          <w:lang w:val="en-GB"/>
        </w:rPr>
      </w:pPr>
    </w:p>
    <w:p w:rsidR="004F6909" w:rsidRPr="00104F12" w:rsidRDefault="004F6909" w:rsidP="004F6909">
      <w:pPr>
        <w:rPr>
          <w:sz w:val="24"/>
          <w:szCs w:val="24"/>
          <w:lang w:val="en-GB"/>
        </w:rPr>
      </w:pPr>
      <w:r w:rsidRPr="00104F12">
        <w:rPr>
          <w:sz w:val="24"/>
          <w:szCs w:val="24"/>
          <w:lang w:val="en-GB"/>
        </w:rPr>
        <w:t xml:space="preserve">M. M. </w:t>
      </w:r>
      <w:r>
        <w:rPr>
          <w:sz w:val="24"/>
          <w:szCs w:val="24"/>
          <w:lang w:val="en-GB"/>
        </w:rPr>
        <w:t>Fitzsimons</w:t>
      </w:r>
    </w:p>
    <w:p w:rsidR="004F6909" w:rsidRPr="00104F12" w:rsidRDefault="004F6909" w:rsidP="004F6909">
      <w:pPr>
        <w:rPr>
          <w:sz w:val="24"/>
          <w:szCs w:val="24"/>
          <w:lang w:val="en-GB"/>
        </w:rPr>
      </w:pPr>
      <w:r w:rsidRPr="00104F12">
        <w:rPr>
          <w:sz w:val="24"/>
          <w:szCs w:val="24"/>
          <w:lang w:val="en-GB"/>
        </w:rPr>
        <w:t xml:space="preserve">Geological Survey Ireland, Haddington Road, Dublin, </w:t>
      </w:r>
      <w:r w:rsidRPr="00104F12">
        <w:rPr>
          <w:rFonts w:ascii="Arial" w:hAnsi="Arial" w:cs="Arial"/>
          <w:color w:val="000000"/>
          <w:sz w:val="21"/>
          <w:szCs w:val="21"/>
          <w:shd w:val="clear" w:color="auto" w:fill="FFFFFF"/>
          <w:lang w:val="en-GB"/>
        </w:rPr>
        <w:t>D04 K7X4</w:t>
      </w:r>
      <w:r w:rsidRPr="00104F12">
        <w:rPr>
          <w:sz w:val="24"/>
          <w:szCs w:val="24"/>
          <w:lang w:val="en-GB"/>
        </w:rPr>
        <w:t>, Ireland.</w:t>
      </w:r>
    </w:p>
    <w:p w:rsidR="004F6909" w:rsidRPr="00104F12" w:rsidRDefault="004F6909" w:rsidP="004F6909">
      <w:pPr>
        <w:rPr>
          <w:sz w:val="24"/>
          <w:szCs w:val="24"/>
          <w:lang w:val="en-GB"/>
        </w:rPr>
      </w:pPr>
    </w:p>
    <w:p w:rsidR="004F6909" w:rsidRPr="00104F12" w:rsidRDefault="004F6909" w:rsidP="004F6909">
      <w:pPr>
        <w:rPr>
          <w:sz w:val="24"/>
          <w:szCs w:val="24"/>
          <w:lang w:val="en-GB"/>
        </w:rPr>
      </w:pPr>
      <w:r w:rsidRPr="00104F12">
        <w:rPr>
          <w:sz w:val="24"/>
          <w:szCs w:val="24"/>
          <w:lang w:val="en-GB"/>
        </w:rPr>
        <w:t>M.A. Browne</w:t>
      </w:r>
    </w:p>
    <w:p w:rsidR="004F6909" w:rsidRDefault="004F6909" w:rsidP="004F6909">
      <w:pPr>
        <w:rPr>
          <w:sz w:val="24"/>
          <w:szCs w:val="24"/>
          <w:lang w:val="en-GB"/>
        </w:rPr>
      </w:pPr>
      <w:r w:rsidRPr="00104F12">
        <w:rPr>
          <w:sz w:val="24"/>
          <w:szCs w:val="24"/>
          <w:lang w:val="en-GB"/>
        </w:rPr>
        <w:t xml:space="preserve">Geological Survey Ireland, Haddington Road, Dublin, </w:t>
      </w:r>
      <w:r w:rsidRPr="00104F12">
        <w:rPr>
          <w:rFonts w:ascii="Arial" w:hAnsi="Arial" w:cs="Arial"/>
          <w:color w:val="000000"/>
          <w:sz w:val="21"/>
          <w:szCs w:val="21"/>
          <w:shd w:val="clear" w:color="auto" w:fill="FFFFFF"/>
          <w:lang w:val="en-GB"/>
        </w:rPr>
        <w:t>D04 K7X4</w:t>
      </w:r>
      <w:r w:rsidRPr="00104F12">
        <w:rPr>
          <w:sz w:val="24"/>
          <w:szCs w:val="24"/>
          <w:lang w:val="en-GB"/>
        </w:rPr>
        <w:t>, Ireland.</w:t>
      </w:r>
    </w:p>
    <w:p w:rsidR="004F6909" w:rsidRPr="00104F12" w:rsidRDefault="004F6909" w:rsidP="004F6909">
      <w:pPr>
        <w:rPr>
          <w:sz w:val="24"/>
          <w:szCs w:val="24"/>
          <w:lang w:val="en-GB"/>
        </w:rPr>
      </w:pPr>
    </w:p>
    <w:p w:rsidR="004F6909" w:rsidRPr="00104F12" w:rsidRDefault="004F6909" w:rsidP="004F6909">
      <w:pPr>
        <w:rPr>
          <w:sz w:val="24"/>
          <w:szCs w:val="24"/>
          <w:lang w:val="en-GB"/>
        </w:rPr>
      </w:pPr>
      <w:r w:rsidRPr="00104F12">
        <w:rPr>
          <w:sz w:val="24"/>
          <w:szCs w:val="24"/>
          <w:lang w:val="en-GB"/>
        </w:rPr>
        <w:t>S. Lilburn</w:t>
      </w:r>
    </w:p>
    <w:p w:rsidR="004F6909" w:rsidRDefault="004F6909" w:rsidP="004F6909">
      <w:pPr>
        <w:rPr>
          <w:sz w:val="24"/>
          <w:szCs w:val="24"/>
          <w:lang w:val="en-GB"/>
        </w:rPr>
      </w:pPr>
      <w:r w:rsidRPr="00104F12">
        <w:rPr>
          <w:sz w:val="24"/>
          <w:szCs w:val="24"/>
          <w:lang w:val="en-GB"/>
        </w:rPr>
        <w:t xml:space="preserve">Geological Survey Ireland, Haddington Road, Dublin, </w:t>
      </w:r>
      <w:r w:rsidRPr="00104F12">
        <w:rPr>
          <w:rFonts w:ascii="Arial" w:hAnsi="Arial" w:cs="Arial"/>
          <w:color w:val="000000"/>
          <w:sz w:val="21"/>
          <w:szCs w:val="21"/>
          <w:shd w:val="clear" w:color="auto" w:fill="FFFFFF"/>
          <w:lang w:val="en-GB"/>
        </w:rPr>
        <w:t>D04 K7X4</w:t>
      </w:r>
      <w:r w:rsidRPr="00104F12">
        <w:rPr>
          <w:sz w:val="24"/>
          <w:szCs w:val="24"/>
          <w:lang w:val="en-GB"/>
        </w:rPr>
        <w:t>, Ireland.</w:t>
      </w:r>
    </w:p>
    <w:p w:rsidR="004F6909" w:rsidRPr="00104F12" w:rsidRDefault="004F6909" w:rsidP="004F6909">
      <w:pPr>
        <w:rPr>
          <w:sz w:val="24"/>
          <w:szCs w:val="24"/>
          <w:lang w:val="en-GB"/>
        </w:rPr>
      </w:pPr>
    </w:p>
    <w:p w:rsidR="004F6909" w:rsidRPr="00104F12" w:rsidRDefault="004F6909" w:rsidP="004F6909">
      <w:pPr>
        <w:rPr>
          <w:sz w:val="24"/>
          <w:szCs w:val="24"/>
          <w:lang w:val="en-GB"/>
        </w:rPr>
      </w:pPr>
      <w:r w:rsidRPr="00104F12">
        <w:rPr>
          <w:sz w:val="24"/>
          <w:szCs w:val="24"/>
          <w:lang w:val="en-GB"/>
        </w:rPr>
        <w:t>J. Symons</w:t>
      </w:r>
    </w:p>
    <w:p w:rsidR="004F6909" w:rsidRPr="00104F12" w:rsidRDefault="004F6909" w:rsidP="004F6909">
      <w:pPr>
        <w:rPr>
          <w:sz w:val="24"/>
          <w:szCs w:val="24"/>
          <w:lang w:val="en-GB"/>
        </w:rPr>
      </w:pPr>
      <w:r w:rsidRPr="00104F12">
        <w:rPr>
          <w:sz w:val="24"/>
          <w:szCs w:val="24"/>
          <w:lang w:val="en-GB"/>
        </w:rPr>
        <w:t xml:space="preserve">Geological Survey Ireland, Haddington Road, Dublin, </w:t>
      </w:r>
      <w:r w:rsidRPr="00104F12">
        <w:rPr>
          <w:rFonts w:ascii="Arial" w:hAnsi="Arial" w:cs="Arial"/>
          <w:color w:val="000000"/>
          <w:sz w:val="21"/>
          <w:szCs w:val="21"/>
          <w:shd w:val="clear" w:color="auto" w:fill="FFFFFF"/>
          <w:lang w:val="en-GB"/>
        </w:rPr>
        <w:t>D04 K7X4</w:t>
      </w:r>
      <w:r w:rsidRPr="00104F12">
        <w:rPr>
          <w:sz w:val="24"/>
          <w:szCs w:val="24"/>
          <w:lang w:val="en-GB"/>
        </w:rPr>
        <w:t>, Ireland.</w:t>
      </w:r>
    </w:p>
    <w:p w:rsidR="004F6909" w:rsidRPr="00104F12" w:rsidRDefault="004F6909" w:rsidP="004F6909">
      <w:pPr>
        <w:rPr>
          <w:sz w:val="24"/>
          <w:szCs w:val="24"/>
          <w:lang w:val="en-GB"/>
        </w:rPr>
      </w:pPr>
    </w:p>
    <w:p w:rsidR="004F6909" w:rsidRDefault="004F6909"/>
    <w:p w:rsidR="00CE4CB5" w:rsidRDefault="00CE4CB5">
      <w:pPr>
        <w:spacing w:after="200" w:line="276" w:lineRule="auto"/>
      </w:pPr>
      <w:r>
        <w:br w:type="page"/>
      </w:r>
    </w:p>
    <w:p w:rsidR="004F6909" w:rsidRDefault="000B0056">
      <w:r>
        <w:rPr>
          <w:b/>
          <w:sz w:val="24"/>
          <w:szCs w:val="24"/>
        </w:rPr>
        <w:lastRenderedPageBreak/>
        <w:t>Supplementary maps and plots</w:t>
      </w:r>
    </w:p>
    <w:p w:rsidR="00CE4CB5" w:rsidRDefault="00CE4CB5"/>
    <w:p w:rsidR="0046473A" w:rsidRDefault="0046473A">
      <w:r>
        <w:t>The following figures are as referenced in the main text.</w:t>
      </w:r>
    </w:p>
    <w:p w:rsidR="0046473A" w:rsidRDefault="0046473A"/>
    <w:p w:rsidR="0046473A" w:rsidRDefault="0046473A"/>
    <w:p w:rsidR="0046473A" w:rsidRDefault="0046473A"/>
    <w:p w:rsidR="009E3081" w:rsidRPr="009866D4" w:rsidRDefault="000B0056" w:rsidP="00CE4CB5">
      <w:pPr>
        <w:spacing w:line="276" w:lineRule="auto"/>
      </w:pPr>
      <w:r w:rsidRPr="009866D4">
        <w:t xml:space="preserve">Insert </w:t>
      </w:r>
      <w:r w:rsidR="00526013">
        <w:t xml:space="preserve">Supplementary Material </w:t>
      </w:r>
      <w:r w:rsidRPr="009866D4">
        <w:t>Figure 1</w:t>
      </w:r>
    </w:p>
    <w:p w:rsidR="000B0056" w:rsidRPr="009866D4" w:rsidRDefault="000B0056" w:rsidP="00CE4CB5">
      <w:pPr>
        <w:spacing w:line="276" w:lineRule="auto"/>
      </w:pPr>
    </w:p>
    <w:p w:rsidR="000B0056" w:rsidRPr="009866D4" w:rsidRDefault="000B0056" w:rsidP="00CE4CB5">
      <w:pPr>
        <w:spacing w:line="276" w:lineRule="auto"/>
      </w:pPr>
      <w:r w:rsidRPr="009866D4">
        <w:t xml:space="preserve">Insert </w:t>
      </w:r>
      <w:r w:rsidR="00526013">
        <w:t xml:space="preserve">Supplementary Material </w:t>
      </w:r>
      <w:r w:rsidRPr="009866D4">
        <w:t>Figure 2</w:t>
      </w:r>
    </w:p>
    <w:p w:rsidR="000B0056" w:rsidRPr="009866D4" w:rsidRDefault="000B0056" w:rsidP="00CE4CB5">
      <w:pPr>
        <w:spacing w:line="276" w:lineRule="auto"/>
      </w:pPr>
    </w:p>
    <w:p w:rsidR="000B0056" w:rsidRPr="009866D4" w:rsidRDefault="000B0056" w:rsidP="000B0056">
      <w:pPr>
        <w:spacing w:line="276" w:lineRule="auto"/>
      </w:pPr>
      <w:r w:rsidRPr="009866D4">
        <w:t xml:space="preserve">Insert </w:t>
      </w:r>
      <w:r w:rsidR="00526013">
        <w:t xml:space="preserve">Supplementary Material </w:t>
      </w:r>
      <w:r w:rsidRPr="009866D4">
        <w:t>Figure 3</w:t>
      </w:r>
    </w:p>
    <w:p w:rsidR="000B0056" w:rsidRPr="009866D4" w:rsidRDefault="000B0056" w:rsidP="000B0056">
      <w:pPr>
        <w:spacing w:line="276" w:lineRule="auto"/>
      </w:pPr>
    </w:p>
    <w:p w:rsidR="000B0056" w:rsidRPr="009866D4" w:rsidRDefault="000B0056" w:rsidP="000B0056">
      <w:pPr>
        <w:spacing w:line="276" w:lineRule="auto"/>
      </w:pPr>
      <w:r w:rsidRPr="009866D4">
        <w:t xml:space="preserve">Insert </w:t>
      </w:r>
      <w:r w:rsidR="00526013">
        <w:t xml:space="preserve">Supplementary Material </w:t>
      </w:r>
      <w:r w:rsidRPr="009866D4">
        <w:t>Figure 4</w:t>
      </w:r>
    </w:p>
    <w:p w:rsidR="000B0056" w:rsidRPr="009866D4" w:rsidRDefault="000B0056" w:rsidP="00CE4CB5">
      <w:pPr>
        <w:spacing w:line="276" w:lineRule="auto"/>
      </w:pPr>
    </w:p>
    <w:p w:rsidR="000B0056" w:rsidRPr="009866D4" w:rsidRDefault="000B0056" w:rsidP="000B0056">
      <w:pPr>
        <w:spacing w:line="276" w:lineRule="auto"/>
      </w:pPr>
      <w:r w:rsidRPr="009866D4">
        <w:t xml:space="preserve">Insert </w:t>
      </w:r>
      <w:r w:rsidR="00526013">
        <w:t xml:space="preserve">Supplementary Material </w:t>
      </w:r>
      <w:r w:rsidRPr="009866D4">
        <w:t>Figure 5</w:t>
      </w:r>
    </w:p>
    <w:p w:rsidR="000B0056" w:rsidRPr="009866D4" w:rsidRDefault="000B0056" w:rsidP="000B0056">
      <w:pPr>
        <w:spacing w:line="276" w:lineRule="auto"/>
      </w:pPr>
    </w:p>
    <w:p w:rsidR="000B0056" w:rsidRDefault="000B0056" w:rsidP="000B0056">
      <w:pPr>
        <w:spacing w:line="276" w:lineRule="auto"/>
      </w:pPr>
      <w:r w:rsidRPr="009866D4">
        <w:t xml:space="preserve">Insert </w:t>
      </w:r>
      <w:r w:rsidR="00526013">
        <w:t xml:space="preserve">Supplementary Material </w:t>
      </w:r>
      <w:r w:rsidRPr="009866D4">
        <w:t>Figure 6</w:t>
      </w:r>
    </w:p>
    <w:p w:rsidR="009866D4" w:rsidRDefault="009866D4" w:rsidP="000B0056">
      <w:pPr>
        <w:spacing w:line="276" w:lineRule="auto"/>
      </w:pPr>
    </w:p>
    <w:p w:rsidR="009866D4" w:rsidRDefault="009866D4" w:rsidP="009866D4">
      <w:pPr>
        <w:spacing w:line="276" w:lineRule="auto"/>
      </w:pPr>
      <w:r>
        <w:t xml:space="preserve">Insert </w:t>
      </w:r>
      <w:r w:rsidR="00526013">
        <w:t xml:space="preserve">Supplementary Material </w:t>
      </w:r>
      <w:r>
        <w:t>Figure 7</w:t>
      </w:r>
    </w:p>
    <w:p w:rsidR="009866D4" w:rsidRDefault="009866D4" w:rsidP="000B0056">
      <w:pPr>
        <w:spacing w:line="276" w:lineRule="auto"/>
      </w:pPr>
    </w:p>
    <w:p w:rsidR="009866D4" w:rsidRDefault="009866D4" w:rsidP="009866D4">
      <w:pPr>
        <w:spacing w:line="276" w:lineRule="auto"/>
      </w:pPr>
      <w:r>
        <w:t xml:space="preserve">Insert </w:t>
      </w:r>
      <w:r w:rsidR="00526013">
        <w:t xml:space="preserve">Supplementary Material </w:t>
      </w:r>
      <w:r>
        <w:t>Figure 8</w:t>
      </w:r>
    </w:p>
    <w:p w:rsidR="009866D4" w:rsidRDefault="009866D4" w:rsidP="000B0056">
      <w:pPr>
        <w:spacing w:line="276" w:lineRule="auto"/>
      </w:pPr>
    </w:p>
    <w:p w:rsidR="009866D4" w:rsidRDefault="009866D4" w:rsidP="009866D4">
      <w:pPr>
        <w:spacing w:line="276" w:lineRule="auto"/>
      </w:pPr>
      <w:r>
        <w:t xml:space="preserve">Insert </w:t>
      </w:r>
      <w:r w:rsidR="00526013">
        <w:t xml:space="preserve">Supplementary Material </w:t>
      </w:r>
      <w:r>
        <w:t>Figure 9</w:t>
      </w:r>
    </w:p>
    <w:p w:rsidR="009866D4" w:rsidRDefault="009866D4" w:rsidP="000B0056">
      <w:pPr>
        <w:spacing w:line="276" w:lineRule="auto"/>
      </w:pPr>
    </w:p>
    <w:p w:rsidR="009866D4" w:rsidRDefault="009866D4" w:rsidP="009866D4">
      <w:pPr>
        <w:spacing w:line="276" w:lineRule="auto"/>
      </w:pPr>
      <w:r>
        <w:t xml:space="preserve">Insert </w:t>
      </w:r>
      <w:r w:rsidR="00526013">
        <w:t xml:space="preserve">Supplementary Material </w:t>
      </w:r>
      <w:r>
        <w:t>Figure 10</w:t>
      </w:r>
    </w:p>
    <w:p w:rsidR="009866D4" w:rsidRDefault="009866D4" w:rsidP="000B0056">
      <w:pPr>
        <w:spacing w:line="276" w:lineRule="auto"/>
      </w:pPr>
    </w:p>
    <w:p w:rsidR="009866D4" w:rsidRDefault="009866D4" w:rsidP="009866D4">
      <w:pPr>
        <w:spacing w:line="276" w:lineRule="auto"/>
      </w:pPr>
      <w:r>
        <w:t xml:space="preserve">Insert </w:t>
      </w:r>
      <w:r w:rsidR="00526013">
        <w:t xml:space="preserve">Supplementary Material </w:t>
      </w:r>
      <w:r>
        <w:t>Figure 11</w:t>
      </w:r>
    </w:p>
    <w:p w:rsidR="003175C1" w:rsidRDefault="003175C1" w:rsidP="009866D4">
      <w:pPr>
        <w:spacing w:line="276" w:lineRule="auto"/>
      </w:pPr>
    </w:p>
    <w:p w:rsidR="003175C1" w:rsidRDefault="003175C1" w:rsidP="003175C1">
      <w:pPr>
        <w:spacing w:line="276" w:lineRule="auto"/>
      </w:pPr>
      <w:r>
        <w:t>Insert Supplementary Material Figure 12</w:t>
      </w:r>
    </w:p>
    <w:p w:rsidR="003175C1" w:rsidRDefault="003175C1" w:rsidP="009866D4">
      <w:pPr>
        <w:spacing w:line="276" w:lineRule="auto"/>
      </w:pPr>
    </w:p>
    <w:p w:rsidR="009866D4" w:rsidRDefault="009866D4" w:rsidP="000B0056">
      <w:pPr>
        <w:spacing w:line="276" w:lineRule="auto"/>
      </w:pPr>
    </w:p>
    <w:p w:rsidR="000B0056" w:rsidRDefault="000B0056" w:rsidP="00CE4CB5">
      <w:pPr>
        <w:spacing w:line="276" w:lineRule="auto"/>
      </w:pPr>
    </w:p>
    <w:p w:rsidR="009E3081" w:rsidRDefault="009E3081" w:rsidP="00CE4CB5">
      <w:pPr>
        <w:spacing w:line="276" w:lineRule="auto"/>
      </w:pPr>
    </w:p>
    <w:p w:rsidR="009E3081" w:rsidRDefault="009E3081" w:rsidP="00CE4CB5">
      <w:pPr>
        <w:spacing w:line="276" w:lineRule="auto"/>
      </w:pPr>
    </w:p>
    <w:p w:rsidR="009E3081" w:rsidRDefault="009E3081" w:rsidP="00CE4CB5">
      <w:pPr>
        <w:spacing w:line="276" w:lineRule="auto"/>
      </w:pPr>
    </w:p>
    <w:p w:rsidR="00CE4CB5" w:rsidRDefault="00CE4CB5"/>
    <w:p w:rsidR="00CE4CB5" w:rsidRDefault="00CE4CB5"/>
    <w:p w:rsidR="004F6909" w:rsidRDefault="004F6909">
      <w:pPr>
        <w:spacing w:after="200" w:line="276" w:lineRule="auto"/>
      </w:pPr>
      <w:r>
        <w:br w:type="page"/>
      </w:r>
    </w:p>
    <w:p w:rsidR="004F6B72" w:rsidRPr="004F6B72" w:rsidRDefault="004F6B72" w:rsidP="004F6B72">
      <w:pPr>
        <w:rPr>
          <w:b/>
          <w:sz w:val="24"/>
          <w:szCs w:val="24"/>
        </w:rPr>
      </w:pPr>
      <w:r w:rsidRPr="004F6B72">
        <w:rPr>
          <w:b/>
          <w:sz w:val="24"/>
          <w:szCs w:val="24"/>
        </w:rPr>
        <w:lastRenderedPageBreak/>
        <w:t>Comparison of Cation/Anion Associations using Piper Plots and Principal Component Analysis</w:t>
      </w:r>
    </w:p>
    <w:p w:rsidR="004F6B72" w:rsidRDefault="004F6B72" w:rsidP="004F6B72"/>
    <w:p w:rsidR="004F6B72" w:rsidRPr="004F6B72" w:rsidRDefault="004F6B72" w:rsidP="004F6B72">
      <w:pPr>
        <w:rPr>
          <w:b/>
        </w:rPr>
      </w:pPr>
      <w:r w:rsidRPr="004F6B72">
        <w:rPr>
          <w:b/>
        </w:rPr>
        <w:t>Introduction</w:t>
      </w:r>
    </w:p>
    <w:p w:rsidR="004F6B72" w:rsidRDefault="004F6B72" w:rsidP="004F6B72"/>
    <w:p w:rsidR="004F6B72" w:rsidRDefault="004F6B72" w:rsidP="004F6B72">
      <w:r>
        <w:t>The use of Piper plots has traditionally been a graphical way of expressing the relationships of groups of cations/anions [Ca-Mg-(</w:t>
      </w:r>
      <w:proofErr w:type="spellStart"/>
      <w:r>
        <w:t>Na+K</w:t>
      </w:r>
      <w:proofErr w:type="spellEnd"/>
      <w:r>
        <w:t>)], [Cl+F+NO3], [(</w:t>
      </w:r>
      <w:proofErr w:type="spellStart"/>
      <w:r>
        <w:t>Na+K</w:t>
      </w:r>
      <w:proofErr w:type="spellEnd"/>
      <w:r>
        <w:t>)-(SO4+Cl)-(</w:t>
      </w:r>
      <w:proofErr w:type="spellStart"/>
      <w:r>
        <w:t>Ca+Mg</w:t>
      </w:r>
      <w:proofErr w:type="spellEnd"/>
      <w:r>
        <w:t xml:space="preserve">)-(HCO3)], which reflect conditions influenced by pH and </w:t>
      </w:r>
      <w:proofErr w:type="spellStart"/>
      <w:r>
        <w:t>eH</w:t>
      </w:r>
      <w:proofErr w:type="spellEnd"/>
      <w:r>
        <w:t>.</w:t>
      </w:r>
    </w:p>
    <w:p w:rsidR="004F6B72" w:rsidRDefault="004F6B72" w:rsidP="004F6B72"/>
    <w:p w:rsidR="004F6B72" w:rsidRDefault="004F6B72" w:rsidP="004F6B72">
      <w:r>
        <w:t xml:space="preserve">Figure </w:t>
      </w:r>
      <w:r w:rsidR="000B0056">
        <w:t>4</w:t>
      </w:r>
      <w:r>
        <w:t xml:space="preserve"> shows the Tellus waters data plotted on a standard Piper plot (Piper, 1944). The figure shows a range of cation/anion compositions classified by underlying rock type. Limestones show a distinct clustering where there is corresponding relative enrichment in Ca-Mg- HCO</w:t>
      </w:r>
      <w:r w:rsidRPr="004F6B72">
        <w:rPr>
          <w:vertAlign w:val="subscript"/>
        </w:rPr>
        <w:t>3</w:t>
      </w:r>
      <w:r w:rsidRPr="004F6B72">
        <w:rPr>
          <w:vertAlign w:val="superscript"/>
        </w:rPr>
        <w:t>−</w:t>
      </w:r>
      <w:r>
        <w:t>. Other water sampling sites associated with granites, clastic sediments, mafic rocks and felsic intrusive rocks show relative depletion in Ca-Mg-SO</w:t>
      </w:r>
      <w:r w:rsidRPr="004F6B72">
        <w:rPr>
          <w:vertAlign w:val="subscript"/>
        </w:rPr>
        <w:t>4</w:t>
      </w:r>
      <w:r w:rsidRPr="004F6B72">
        <w:rPr>
          <w:vertAlign w:val="superscript"/>
        </w:rPr>
        <w:t>2−</w:t>
      </w:r>
      <w:r>
        <w:t>-HCO</w:t>
      </w:r>
      <w:r w:rsidRPr="004F6B72">
        <w:rPr>
          <w:vertAlign w:val="subscript"/>
        </w:rPr>
        <w:t>3</w:t>
      </w:r>
      <w:r w:rsidRPr="004F6B72">
        <w:rPr>
          <w:vertAlign w:val="superscript"/>
        </w:rPr>
        <w:t>−</w:t>
      </w:r>
      <w:r>
        <w:t xml:space="preserve"> and a range of values for Cl</w:t>
      </w:r>
      <w:r w:rsidRPr="004F6B72">
        <w:rPr>
          <w:vertAlign w:val="superscript"/>
        </w:rPr>
        <w:t>−</w:t>
      </w:r>
      <w:r>
        <w:t>-F</w:t>
      </w:r>
      <w:r w:rsidRPr="004F6B72">
        <w:rPr>
          <w:vertAlign w:val="superscript"/>
        </w:rPr>
        <w:t>−</w:t>
      </w:r>
      <w:r>
        <w:t>-NO</w:t>
      </w:r>
      <w:r w:rsidRPr="004F6B72">
        <w:rPr>
          <w:vertAlign w:val="subscript"/>
        </w:rPr>
        <w:t>3</w:t>
      </w:r>
      <w:r w:rsidRPr="004F6B72">
        <w:rPr>
          <w:vertAlign w:val="superscript"/>
        </w:rPr>
        <w:t>−</w:t>
      </w:r>
      <w:r>
        <w:t>, HCO</w:t>
      </w:r>
      <w:r w:rsidRPr="004F6B72">
        <w:rPr>
          <w:vertAlign w:val="subscript"/>
        </w:rPr>
        <w:t>3</w:t>
      </w:r>
      <w:r w:rsidRPr="004F6B72">
        <w:rPr>
          <w:vertAlign w:val="superscript"/>
        </w:rPr>
        <w:t>−</w:t>
      </w:r>
      <w:r>
        <w:t xml:space="preserve"> and Ca-Mg.</w:t>
      </w:r>
    </w:p>
    <w:p w:rsidR="004F6B72" w:rsidRDefault="004F6B72" w:rsidP="004F6B72"/>
    <w:p w:rsidR="004F6B72" w:rsidRDefault="004F6B72" w:rsidP="004F6B72">
      <w:r>
        <w:t xml:space="preserve">One of the problems with ternary diagrams and other graphical forms of data presentation that restrict the space of presentation is the degree of distortion that patterns exhibit near the limits of the diagrams. This effect is due to the compositional nature, specifically, of ternary diagrams.  A way of expressing this is through the use </w:t>
      </w:r>
      <w:r w:rsidR="003175C1">
        <w:t xml:space="preserve">of </w:t>
      </w:r>
      <w:r>
        <w:t xml:space="preserve">a software </w:t>
      </w:r>
      <w:r w:rsidRPr="003175C1">
        <w:t xml:space="preserve">package </w:t>
      </w:r>
      <w:proofErr w:type="spellStart"/>
      <w:r w:rsidRPr="003175C1">
        <w:t>CoDaPack</w:t>
      </w:r>
      <w:proofErr w:type="spellEnd"/>
      <w:r w:rsidRPr="003175C1">
        <w:t xml:space="preserve"> (</w:t>
      </w:r>
      <w:r w:rsidR="003175C1" w:rsidRPr="003175C1">
        <w:t>Comas-</w:t>
      </w:r>
      <w:proofErr w:type="spellStart"/>
      <w:r w:rsidR="003175C1" w:rsidRPr="003175C1">
        <w:t>Cufí</w:t>
      </w:r>
      <w:proofErr w:type="spellEnd"/>
      <w:r w:rsidR="003175C1" w:rsidRPr="003175C1">
        <w:t xml:space="preserve"> and </w:t>
      </w:r>
      <w:proofErr w:type="spellStart"/>
      <w:r w:rsidR="003175C1" w:rsidRPr="003175C1">
        <w:t>Thió-Henestrosa</w:t>
      </w:r>
      <w:proofErr w:type="spellEnd"/>
      <w:r w:rsidR="003175C1" w:rsidRPr="003175C1">
        <w:t>, 2011</w:t>
      </w:r>
      <w:r w:rsidRPr="003175C1">
        <w:t>).</w:t>
      </w:r>
      <w:r>
        <w:t xml:space="preserve"> </w:t>
      </w:r>
      <w:proofErr w:type="spellStart"/>
      <w:r>
        <w:t>CoDaPack</w:t>
      </w:r>
      <w:proofErr w:type="spellEnd"/>
      <w:r>
        <w:t xml:space="preserve"> software enables the projection of data in ternary diagrams by centring the mass of data in the ternary diagram. The corresponding triangular grid is re-projected to illustrate the amount of distortion in the grid. Figure </w:t>
      </w:r>
      <w:r w:rsidR="001C4A73">
        <w:t>8</w:t>
      </w:r>
      <w:r>
        <w:t xml:space="preserve">a shows a ternary diagram of Mg-Ca-K classified by the </w:t>
      </w:r>
      <w:proofErr w:type="spellStart"/>
      <w:r>
        <w:t>lithologies</w:t>
      </w:r>
      <w:proofErr w:type="spellEnd"/>
      <w:r>
        <w:t xml:space="preserve"> underlying the waters sampling sites. Due to the low amount of K relative to Ca and Mg, the data are compressed along the Mg-Ca side of the triangle. Centring the data, using </w:t>
      </w:r>
      <w:proofErr w:type="spellStart"/>
      <w:r>
        <w:t>CoDaPack</w:t>
      </w:r>
      <w:proofErr w:type="spellEnd"/>
      <w:r>
        <w:t xml:space="preserve">, as shown in Figure </w:t>
      </w:r>
      <w:r w:rsidR="001C4A73">
        <w:t>8</w:t>
      </w:r>
      <w:r>
        <w:t xml:space="preserve">b, reveals much more information about the relationship of the different </w:t>
      </w:r>
      <w:proofErr w:type="spellStart"/>
      <w:r>
        <w:t>lithologies</w:t>
      </w:r>
      <w:proofErr w:type="spellEnd"/>
      <w:r>
        <w:t xml:space="preserve"> relative to the cations Mg-Ca-K. Note that the ternary grid is highly distorted, emphasizing the significant problem that can be encountered when using ternary diagrams.</w:t>
      </w:r>
    </w:p>
    <w:p w:rsidR="004F6B72" w:rsidRDefault="004F6B72" w:rsidP="004F6B72"/>
    <w:p w:rsidR="0046473A" w:rsidRDefault="0046473A" w:rsidP="004F6B72">
      <w:r>
        <w:t xml:space="preserve">[INSERT Figure </w:t>
      </w:r>
      <w:r w:rsidR="001C4A73">
        <w:t>8</w:t>
      </w:r>
      <w:r>
        <w:t>a]</w:t>
      </w:r>
    </w:p>
    <w:p w:rsidR="0046473A" w:rsidRDefault="0046473A" w:rsidP="004F6B72"/>
    <w:p w:rsidR="0046473A" w:rsidRDefault="0046473A" w:rsidP="004F6B72">
      <w:r>
        <w:t xml:space="preserve">[INSERT Figure </w:t>
      </w:r>
      <w:r w:rsidR="001C4A73">
        <w:t>8</w:t>
      </w:r>
      <w:r>
        <w:t>b]</w:t>
      </w:r>
    </w:p>
    <w:p w:rsidR="0046473A" w:rsidRDefault="0046473A" w:rsidP="004F6B72"/>
    <w:p w:rsidR="004F6B72" w:rsidRDefault="004F6B72" w:rsidP="004F6B72">
      <w:r>
        <w:t xml:space="preserve">As an alternative to a ternary diagram, principal component analysis (PCA), after a method used by Grunsky (2001), was applied to a log-centred transform of the cations/anions from the Piper diagram of Figure </w:t>
      </w:r>
      <w:r w:rsidR="000B0056">
        <w:t>4</w:t>
      </w:r>
      <w:r>
        <w:t xml:space="preserve">. The first two components account for more than 75% of the overall variation and PCA </w:t>
      </w:r>
      <w:proofErr w:type="spellStart"/>
      <w:r>
        <w:t>biplots</w:t>
      </w:r>
      <w:proofErr w:type="spellEnd"/>
      <w:r>
        <w:t xml:space="preserve"> of the first two components are shown in Figures </w:t>
      </w:r>
      <w:r w:rsidR="001C4A73">
        <w:t>9</w:t>
      </w:r>
      <w:r>
        <w:t xml:space="preserve"> to 1</w:t>
      </w:r>
      <w:r w:rsidR="001C4A73">
        <w:t>2</w:t>
      </w:r>
      <w:r>
        <w:t xml:space="preserve">, where the scores of the components are classified by rock type, SRF Domain. Teagasc subsoil class and </w:t>
      </w:r>
      <w:proofErr w:type="spellStart"/>
      <w:r>
        <w:t>Corine</w:t>
      </w:r>
      <w:proofErr w:type="spellEnd"/>
      <w:r>
        <w:t xml:space="preserve"> land cover, respectively. Figure </w:t>
      </w:r>
      <w:r w:rsidR="001C4A73">
        <w:t>9</w:t>
      </w:r>
      <w:r>
        <w:t xml:space="preserve"> shows that bicarbonate (HCO</w:t>
      </w:r>
      <w:r w:rsidRPr="004F6B72">
        <w:rPr>
          <w:vertAlign w:val="subscript"/>
        </w:rPr>
        <w:t>3</w:t>
      </w:r>
      <w:r w:rsidRPr="004F6B72">
        <w:rPr>
          <w:vertAlign w:val="superscript"/>
        </w:rPr>
        <w:t>−</w:t>
      </w:r>
      <w:r>
        <w:t>), Ca and F</w:t>
      </w:r>
      <w:r w:rsidRPr="004F6B72">
        <w:rPr>
          <w:vertAlign w:val="superscript"/>
        </w:rPr>
        <w:t>−</w:t>
      </w:r>
      <w:r>
        <w:t xml:space="preserve"> are associated with the underlying limestone lithology. Na-Cl</w:t>
      </w:r>
      <w:r w:rsidRPr="004F6B72">
        <w:rPr>
          <w:vertAlign w:val="superscript"/>
        </w:rPr>
        <w:t>−</w:t>
      </w:r>
      <w:r>
        <w:t xml:space="preserve"> (brine) have an inverse association with HCO</w:t>
      </w:r>
      <w:r w:rsidRPr="004F6B72">
        <w:rPr>
          <w:vertAlign w:val="subscript"/>
        </w:rPr>
        <w:t>3</w:t>
      </w:r>
      <w:r w:rsidRPr="004F6B72">
        <w:rPr>
          <w:vertAlign w:val="superscript"/>
        </w:rPr>
        <w:t>−</w:t>
      </w:r>
      <w:r>
        <w:t>-Ca-F</w:t>
      </w:r>
      <w:r w:rsidRPr="004F6B72">
        <w:rPr>
          <w:vertAlign w:val="superscript"/>
        </w:rPr>
        <w:t>−</w:t>
      </w:r>
      <w:r>
        <w:t xml:space="preserve"> reflecting a very different environment, which is influenced by the nature of the intrusive and sedimentary (non-carbonate) rocks and the proximity to the Atlantic Ocean. Magnesium appears to be neutral between the two extremes along the first principal component, reflecting its presence in waters overlying limestones and intrusive/sedimentary rocks. Potassium is also neutral relative to HCO</w:t>
      </w:r>
      <w:r w:rsidRPr="004F6B72">
        <w:rPr>
          <w:vertAlign w:val="subscript"/>
        </w:rPr>
        <w:t>3</w:t>
      </w:r>
      <w:r w:rsidRPr="004F6B72">
        <w:rPr>
          <w:vertAlign w:val="superscript"/>
        </w:rPr>
        <w:t>−</w:t>
      </w:r>
      <w:r>
        <w:t>-Ca-F</w:t>
      </w:r>
      <w:r w:rsidRPr="004F6B72">
        <w:rPr>
          <w:vertAlign w:val="superscript"/>
        </w:rPr>
        <w:t>−</w:t>
      </w:r>
      <w:r>
        <w:t xml:space="preserve"> and Na-Cl</w:t>
      </w:r>
      <w:r w:rsidRPr="004F6B72">
        <w:rPr>
          <w:vertAlign w:val="superscript"/>
        </w:rPr>
        <w:t>−</w:t>
      </w:r>
      <w:r>
        <w:t xml:space="preserve"> and shows a significant loading along the negative PC2 axis. High negative PC2 values appear to be associated with Ordovician-Silurian deep marine sediments in the eastern part of the sample area, Silurian-Devonian granitic rocks in the western part of the sample area and Neoproterozoic sediments in the northern part of the sample area.</w:t>
      </w:r>
    </w:p>
    <w:p w:rsidR="0046473A" w:rsidRDefault="0046473A" w:rsidP="004F6B72"/>
    <w:p w:rsidR="0046473A" w:rsidRDefault="0046473A" w:rsidP="0046473A">
      <w:r>
        <w:t xml:space="preserve">[INSERT Figure </w:t>
      </w:r>
      <w:r w:rsidR="001C4A73">
        <w:t>9</w:t>
      </w:r>
      <w:r>
        <w:t>]</w:t>
      </w:r>
    </w:p>
    <w:p w:rsidR="004F6B72" w:rsidRDefault="004F6B72" w:rsidP="004F6B72"/>
    <w:p w:rsidR="004F6B72" w:rsidRDefault="004F6B72" w:rsidP="004F6B72">
      <w:r>
        <w:lastRenderedPageBreak/>
        <w:t xml:space="preserve">Figure </w:t>
      </w:r>
      <w:r w:rsidR="001C4A73">
        <w:t>10</w:t>
      </w:r>
      <w:r>
        <w:t xml:space="preserve"> shows the scores of the components classified by SRF Domains. Domain2 (D2) shows a relative enrichment of Ca-</w:t>
      </w:r>
      <w:r w:rsidRPr="004F6B72">
        <w:t xml:space="preserve"> </w:t>
      </w:r>
      <w:r>
        <w:t>HCO</w:t>
      </w:r>
      <w:r w:rsidRPr="004F6B72">
        <w:rPr>
          <w:vertAlign w:val="subscript"/>
        </w:rPr>
        <w:t>3</w:t>
      </w:r>
      <w:r w:rsidRPr="004F6B72">
        <w:rPr>
          <w:vertAlign w:val="superscript"/>
        </w:rPr>
        <w:t>−</w:t>
      </w:r>
      <w:r>
        <w:t xml:space="preserve"> along the negative PC1 axis. Domain 5 (D5) occupies the negative PC2 and positive PC1 axis. The other domains appear to be mixed along the positive PC1 axis and negative to positive PC2 axis. </w:t>
      </w:r>
    </w:p>
    <w:p w:rsidR="0046473A" w:rsidRDefault="0046473A" w:rsidP="004F6B72"/>
    <w:p w:rsidR="0046473A" w:rsidRDefault="0046473A" w:rsidP="0046473A">
      <w:r>
        <w:t xml:space="preserve">[INSERT Figure </w:t>
      </w:r>
      <w:r w:rsidR="001C4A73">
        <w:t>10</w:t>
      </w:r>
      <w:r>
        <w:t>]</w:t>
      </w:r>
    </w:p>
    <w:p w:rsidR="004F6B72" w:rsidRDefault="004F6B72" w:rsidP="004F6B72"/>
    <w:p w:rsidR="004F6B72" w:rsidRDefault="004F6B72" w:rsidP="004F6B72">
      <w:r>
        <w:t>Figure 1</w:t>
      </w:r>
      <w:r w:rsidR="001C4A73">
        <w:t>1</w:t>
      </w:r>
      <w:r>
        <w:t xml:space="preserve"> shows the PC1-PC2 scores classified by Teagasc subsoil types. Till derived sediments (“T” Teagasc subsoil classes) have relative enrichment of Ca-</w:t>
      </w:r>
      <w:r w:rsidRPr="004F6B72">
        <w:t xml:space="preserve"> </w:t>
      </w:r>
      <w:r>
        <w:t>HCO</w:t>
      </w:r>
      <w:r w:rsidRPr="004F6B72">
        <w:rPr>
          <w:vertAlign w:val="subscript"/>
        </w:rPr>
        <w:t>3</w:t>
      </w:r>
      <w:r w:rsidRPr="004F6B72">
        <w:rPr>
          <w:vertAlign w:val="superscript"/>
        </w:rPr>
        <w:t>−</w:t>
      </w:r>
      <w:r>
        <w:t>-F</w:t>
      </w:r>
      <w:r w:rsidRPr="004F6B72">
        <w:rPr>
          <w:vertAlign w:val="superscript"/>
        </w:rPr>
        <w:t>−</w:t>
      </w:r>
      <w:r>
        <w:t xml:space="preserve"> suggesting that these sediments overlay the carbonate terrain. Blanket peat appears to dominate the positive PC1 and positive PC2 region of the </w:t>
      </w:r>
      <w:proofErr w:type="spellStart"/>
      <w:r>
        <w:t>biplot</w:t>
      </w:r>
      <w:proofErr w:type="spellEnd"/>
      <w:r>
        <w:t xml:space="preserve">, which occurs predominantly in the western part of the sampling area. However it is important to note that both classes (till and peat) are spread across the entire </w:t>
      </w:r>
      <w:proofErr w:type="spellStart"/>
      <w:r>
        <w:t>biplot</w:t>
      </w:r>
      <w:proofErr w:type="spellEnd"/>
      <w:r>
        <w:t xml:space="preserve"> indicating significant overlap of the classes in terms of the cation/anions of the waters.</w:t>
      </w:r>
    </w:p>
    <w:p w:rsidR="004F6B72" w:rsidRDefault="004F6B72" w:rsidP="004F6B72"/>
    <w:p w:rsidR="0046473A" w:rsidRDefault="0046473A" w:rsidP="0046473A">
      <w:r>
        <w:t>[INSERT Figure 1</w:t>
      </w:r>
      <w:r w:rsidR="001C4A73">
        <w:t>1</w:t>
      </w:r>
      <w:r>
        <w:t>]</w:t>
      </w:r>
    </w:p>
    <w:p w:rsidR="0046473A" w:rsidRDefault="0046473A" w:rsidP="004F6B72"/>
    <w:p w:rsidR="004F6B72" w:rsidRDefault="004F6B72" w:rsidP="004F6B72">
      <w:r>
        <w:t>Figure 1</w:t>
      </w:r>
      <w:r w:rsidR="001C4A73">
        <w:t>2</w:t>
      </w:r>
      <w:r>
        <w:t xml:space="preserve"> shows the PC1-PC2 </w:t>
      </w:r>
      <w:proofErr w:type="spellStart"/>
      <w:r>
        <w:t>biplot</w:t>
      </w:r>
      <w:proofErr w:type="spellEnd"/>
      <w:r>
        <w:t xml:space="preserve"> coded with land cover classes. Relative enrichment of Ca-</w:t>
      </w:r>
      <w:r w:rsidRPr="004F6B72">
        <w:t xml:space="preserve"> </w:t>
      </w:r>
      <w:r>
        <w:t>HCO</w:t>
      </w:r>
      <w:r w:rsidRPr="004F6B72">
        <w:rPr>
          <w:vertAlign w:val="subscript"/>
        </w:rPr>
        <w:t>3</w:t>
      </w:r>
      <w:r w:rsidRPr="004F6B72">
        <w:rPr>
          <w:vertAlign w:val="superscript"/>
        </w:rPr>
        <w:t>−</w:t>
      </w:r>
      <w:r>
        <w:t>-F</w:t>
      </w:r>
      <w:r w:rsidRPr="004F6B72">
        <w:rPr>
          <w:vertAlign w:val="superscript"/>
        </w:rPr>
        <w:t>−</w:t>
      </w:r>
      <w:r>
        <w:t xml:space="preserve"> along the negative PC1 axis corresponds to land cover that is dominated by pasture, while the positive PC1 axis region is dominated by the land cover class of peat bog. These two land cover classes also extend into the positive and negative PC2 axis regions.</w:t>
      </w:r>
    </w:p>
    <w:p w:rsidR="004F6B72" w:rsidRDefault="004F6B72" w:rsidP="004F6B72"/>
    <w:p w:rsidR="0046473A" w:rsidRDefault="0046473A" w:rsidP="0046473A">
      <w:r>
        <w:t>[INSERT Figure 1</w:t>
      </w:r>
      <w:r w:rsidR="001C4A73">
        <w:t>2</w:t>
      </w:r>
      <w:r>
        <w:t>]</w:t>
      </w:r>
    </w:p>
    <w:p w:rsidR="0046473A" w:rsidRDefault="0046473A" w:rsidP="004F6B72"/>
    <w:p w:rsidR="004F6B72" w:rsidRPr="004F6B72" w:rsidRDefault="004F6B72" w:rsidP="004F6B72">
      <w:pPr>
        <w:rPr>
          <w:b/>
        </w:rPr>
      </w:pPr>
      <w:r w:rsidRPr="004F6B72">
        <w:rPr>
          <w:b/>
        </w:rPr>
        <w:t>Summary</w:t>
      </w:r>
    </w:p>
    <w:p w:rsidR="004F6B72" w:rsidRDefault="004F6B72" w:rsidP="004F6B72">
      <w:r>
        <w:t xml:space="preserve">It is evident from the </w:t>
      </w:r>
      <w:proofErr w:type="spellStart"/>
      <w:r>
        <w:t>biplots</w:t>
      </w:r>
      <w:proofErr w:type="spellEnd"/>
      <w:r>
        <w:t xml:space="preserve"> shown in Figures </w:t>
      </w:r>
      <w:r w:rsidR="001C4A73">
        <w:t>9</w:t>
      </w:r>
      <w:r>
        <w:t xml:space="preserve"> to 1</w:t>
      </w:r>
      <w:r w:rsidR="001C4A73">
        <w:t>2</w:t>
      </w:r>
      <w:r>
        <w:t xml:space="preserve">, there is more information about the relative associations of the cations/anions and the corresponding attributes of rock type, Teagasc, subsoil classes, SRF Domains and land cover than that shown in the Piper diagram in Figure </w:t>
      </w:r>
      <w:r w:rsidR="000B0056">
        <w:t>4</w:t>
      </w:r>
      <w:r>
        <w:t xml:space="preserve">. Thus, a preferred method for studying the characteristics of the Tellus surface water is through the use of multivariate statistical methods based on a </w:t>
      </w:r>
      <w:proofErr w:type="spellStart"/>
      <w:r>
        <w:t>logratio</w:t>
      </w:r>
      <w:proofErr w:type="spellEnd"/>
      <w:r>
        <w:t xml:space="preserve"> transform.</w:t>
      </w:r>
    </w:p>
    <w:p w:rsidR="004F6B72" w:rsidRDefault="004F6B72" w:rsidP="004F6B72"/>
    <w:p w:rsidR="004F6B72" w:rsidRPr="004F6B72" w:rsidRDefault="004F6B72" w:rsidP="004F6B72">
      <w:pPr>
        <w:rPr>
          <w:b/>
        </w:rPr>
      </w:pPr>
      <w:r w:rsidRPr="004F6B72">
        <w:rPr>
          <w:b/>
        </w:rPr>
        <w:t>References</w:t>
      </w:r>
    </w:p>
    <w:p w:rsidR="00692CFD" w:rsidRDefault="00692CFD" w:rsidP="00ED1D37">
      <w:pPr>
        <w:rPr>
          <w:rFonts w:cstheme="minorHAnsi"/>
          <w:sz w:val="24"/>
          <w:szCs w:val="24"/>
        </w:rPr>
      </w:pPr>
    </w:p>
    <w:p w:rsidR="00ED1D37" w:rsidRPr="003175C1" w:rsidRDefault="00ED1D37" w:rsidP="00ED1D37">
      <w:r w:rsidRPr="003175C1">
        <w:t>Comas-</w:t>
      </w:r>
      <w:proofErr w:type="spellStart"/>
      <w:r w:rsidRPr="003175C1">
        <w:t>Cufí</w:t>
      </w:r>
      <w:proofErr w:type="spellEnd"/>
      <w:r w:rsidRPr="003175C1">
        <w:t xml:space="preserve">, M. and </w:t>
      </w:r>
      <w:proofErr w:type="spellStart"/>
      <w:r w:rsidRPr="003175C1">
        <w:t>Thió-Henestrosa</w:t>
      </w:r>
      <w:proofErr w:type="spellEnd"/>
      <w:r w:rsidRPr="003175C1">
        <w:t xml:space="preserve">, S. 2011. </w:t>
      </w:r>
      <w:proofErr w:type="spellStart"/>
      <w:r w:rsidRPr="003175C1">
        <w:t>CoDaPack</w:t>
      </w:r>
      <w:proofErr w:type="spellEnd"/>
      <w:r w:rsidRPr="003175C1">
        <w:t xml:space="preserve"> 2.0: a stand-alone, multi-platform compositional software. In: </w:t>
      </w:r>
      <w:proofErr w:type="spellStart"/>
      <w:r w:rsidRPr="003175C1">
        <w:t>Egozcue</w:t>
      </w:r>
      <w:proofErr w:type="spellEnd"/>
      <w:r w:rsidRPr="003175C1">
        <w:t xml:space="preserve">, J.J., </w:t>
      </w:r>
      <w:proofErr w:type="spellStart"/>
      <w:r w:rsidRPr="003175C1">
        <w:t>Tolosana</w:t>
      </w:r>
      <w:proofErr w:type="spellEnd"/>
      <w:r w:rsidRPr="003175C1">
        <w:t xml:space="preserve">-Delgado, R. and </w:t>
      </w:r>
      <w:proofErr w:type="spellStart"/>
      <w:r w:rsidRPr="003175C1">
        <w:t>Ortego</w:t>
      </w:r>
      <w:proofErr w:type="spellEnd"/>
      <w:r w:rsidRPr="003175C1">
        <w:t>, M.I., (</w:t>
      </w:r>
      <w:proofErr w:type="spellStart"/>
      <w:r w:rsidRPr="003175C1">
        <w:t>eds</w:t>
      </w:r>
      <w:proofErr w:type="spellEnd"/>
      <w:r w:rsidRPr="003175C1">
        <w:t xml:space="preserve">). CoDaWork11: 4th International Workshop on Compositional Data Analysis. </w:t>
      </w:r>
      <w:proofErr w:type="spellStart"/>
      <w:r w:rsidRPr="003175C1">
        <w:t>Sant</w:t>
      </w:r>
      <w:proofErr w:type="spellEnd"/>
      <w:r w:rsidRPr="003175C1">
        <w:t xml:space="preserve"> </w:t>
      </w:r>
      <w:proofErr w:type="spellStart"/>
      <w:r w:rsidRPr="003175C1">
        <w:t>Feliu</w:t>
      </w:r>
      <w:proofErr w:type="spellEnd"/>
      <w:r w:rsidRPr="003175C1">
        <w:t xml:space="preserve"> de </w:t>
      </w:r>
      <w:proofErr w:type="spellStart"/>
      <w:r w:rsidRPr="003175C1">
        <w:t>Guíxols</w:t>
      </w:r>
      <w:proofErr w:type="spellEnd"/>
      <w:r w:rsidRPr="003175C1">
        <w:t xml:space="preserve">. </w:t>
      </w:r>
      <w:hyperlink r:id="rId7" w:history="1">
        <w:r w:rsidRPr="003175C1">
          <w:rPr>
            <w:rStyle w:val="Hyperlink"/>
            <w:rFonts w:cstheme="minorHAnsi"/>
          </w:rPr>
          <w:t>http://www.compositionaldata.com/codapack.php</w:t>
        </w:r>
      </w:hyperlink>
    </w:p>
    <w:p w:rsidR="00ED1D37" w:rsidRPr="003175C1" w:rsidRDefault="00ED1D37" w:rsidP="004F6B72">
      <w:pPr>
        <w:rPr>
          <w:rFonts w:cstheme="minorHAnsi"/>
        </w:rPr>
      </w:pPr>
    </w:p>
    <w:p w:rsidR="00692CFD" w:rsidRPr="003175C1" w:rsidRDefault="00692CFD" w:rsidP="004F6B72">
      <w:pPr>
        <w:rPr>
          <w:rFonts w:cstheme="minorHAnsi"/>
        </w:rPr>
      </w:pPr>
      <w:proofErr w:type="spellStart"/>
      <w:r w:rsidRPr="003175C1">
        <w:rPr>
          <w:rFonts w:cstheme="minorHAnsi"/>
        </w:rPr>
        <w:t>Corine</w:t>
      </w:r>
      <w:proofErr w:type="spellEnd"/>
      <w:r w:rsidRPr="003175C1">
        <w:rPr>
          <w:rFonts w:cstheme="minorHAnsi"/>
        </w:rPr>
        <w:t xml:space="preserve"> 2012. </w:t>
      </w:r>
      <w:proofErr w:type="spellStart"/>
      <w:r w:rsidRPr="003175C1">
        <w:rPr>
          <w:lang w:val="en-GB"/>
        </w:rPr>
        <w:t>Corine</w:t>
      </w:r>
      <w:proofErr w:type="spellEnd"/>
      <w:r w:rsidRPr="003175C1">
        <w:rPr>
          <w:lang w:val="en-GB"/>
        </w:rPr>
        <w:t xml:space="preserve"> Land Cover (CLC) Inventory in Europe. </w:t>
      </w:r>
      <w:hyperlink r:id="rId8" w:history="1">
        <w:r w:rsidRPr="003175C1">
          <w:rPr>
            <w:rStyle w:val="Hyperlink"/>
            <w:lang w:val="en-GB"/>
          </w:rPr>
          <w:t>https://land.copernicus.eu/pan-european/corine-land-cover</w:t>
        </w:r>
      </w:hyperlink>
    </w:p>
    <w:p w:rsidR="00692CFD" w:rsidRPr="003175C1" w:rsidRDefault="00692CFD" w:rsidP="004F6B72">
      <w:pPr>
        <w:rPr>
          <w:rFonts w:cstheme="minorHAnsi"/>
        </w:rPr>
      </w:pPr>
    </w:p>
    <w:p w:rsidR="00692CFD" w:rsidRPr="003175C1" w:rsidRDefault="00692CFD" w:rsidP="00692CFD">
      <w:pPr>
        <w:rPr>
          <w:rFonts w:cstheme="minorHAnsi"/>
          <w:lang w:val="en-GB"/>
        </w:rPr>
      </w:pPr>
      <w:r w:rsidRPr="003175C1">
        <w:rPr>
          <w:rFonts w:cstheme="minorHAnsi"/>
          <w:lang w:val="en-GB"/>
        </w:rPr>
        <w:t xml:space="preserve">Fealy, R.M., Green, S., Loftus, M., Meehan, R., Radford, T., Cronin, C. and </w:t>
      </w:r>
      <w:proofErr w:type="spellStart"/>
      <w:r w:rsidRPr="003175C1">
        <w:rPr>
          <w:rFonts w:cstheme="minorHAnsi"/>
          <w:lang w:val="en-GB"/>
        </w:rPr>
        <w:t>Bulfin</w:t>
      </w:r>
      <w:proofErr w:type="spellEnd"/>
      <w:r w:rsidRPr="003175C1">
        <w:rPr>
          <w:rFonts w:cstheme="minorHAnsi"/>
          <w:lang w:val="en-GB"/>
        </w:rPr>
        <w:t xml:space="preserve">, M. 2009. </w:t>
      </w:r>
      <w:r w:rsidRPr="003175C1">
        <w:rPr>
          <w:rFonts w:cstheme="minorHAnsi"/>
          <w:i/>
          <w:lang w:val="en-GB"/>
        </w:rPr>
        <w:t>Teagasc EPA Soil and Subsoils Mapping Project - Final Report, Volumes I and II.</w:t>
      </w:r>
      <w:r w:rsidRPr="003175C1">
        <w:rPr>
          <w:rFonts w:cstheme="minorHAnsi"/>
          <w:lang w:val="en-GB"/>
        </w:rPr>
        <w:t xml:space="preserve"> Teagasc. Dublin.</w:t>
      </w:r>
    </w:p>
    <w:p w:rsidR="00692CFD" w:rsidRPr="003175C1" w:rsidRDefault="00692CFD" w:rsidP="004F6B72">
      <w:pPr>
        <w:rPr>
          <w:rFonts w:cstheme="minorHAnsi"/>
        </w:rPr>
      </w:pPr>
    </w:p>
    <w:p w:rsidR="004F6B72" w:rsidRPr="003175C1" w:rsidRDefault="004F6B72" w:rsidP="004F6B72">
      <w:pPr>
        <w:rPr>
          <w:rFonts w:cstheme="minorHAnsi"/>
        </w:rPr>
      </w:pPr>
      <w:r w:rsidRPr="003175C1">
        <w:rPr>
          <w:rFonts w:cstheme="minorHAnsi"/>
        </w:rPr>
        <w:t>Grunsky, E.C., 2001. A program for computing RQ-Mode principal components analysis for S-Plus and R; Computers &amp; Geosciences v. 27, (2), p. 229-235.</w:t>
      </w:r>
    </w:p>
    <w:p w:rsidR="004F6B72" w:rsidRPr="003175C1" w:rsidRDefault="004F6B72" w:rsidP="004F6B72">
      <w:pPr>
        <w:rPr>
          <w:rFonts w:cstheme="minorHAnsi"/>
        </w:rPr>
      </w:pPr>
    </w:p>
    <w:p w:rsidR="004F6B72" w:rsidRPr="003175C1" w:rsidRDefault="004F6B72" w:rsidP="004F6B72">
      <w:pPr>
        <w:rPr>
          <w:rFonts w:cstheme="minorHAnsi"/>
        </w:rPr>
      </w:pPr>
      <w:r w:rsidRPr="003175C1">
        <w:rPr>
          <w:rFonts w:cstheme="minorHAnsi"/>
        </w:rPr>
        <w:t>Piper, A.M., 1944. A graphic procedure in the geochemical interpretation of water-analysis, EOS, Transactions American Geophysical Union, v25(6), 914-928. DOI:10.1029/TR025i006p00914</w:t>
      </w:r>
    </w:p>
    <w:p w:rsidR="004F6909" w:rsidRDefault="004F6909"/>
    <w:p w:rsidR="004F6909" w:rsidRDefault="004F6909"/>
    <w:p w:rsidR="004F6909" w:rsidRDefault="004F6909">
      <w:pPr>
        <w:spacing w:after="200" w:line="276" w:lineRule="auto"/>
      </w:pPr>
      <w:r>
        <w:br w:type="page"/>
      </w:r>
    </w:p>
    <w:p w:rsidR="000B0056" w:rsidRPr="001C013D" w:rsidRDefault="000B0056" w:rsidP="000B0056">
      <w:pPr>
        <w:rPr>
          <w:b/>
          <w:u w:val="single"/>
        </w:rPr>
      </w:pPr>
      <w:r w:rsidRPr="001C013D">
        <w:rPr>
          <w:b/>
          <w:u w:val="single"/>
        </w:rPr>
        <w:lastRenderedPageBreak/>
        <w:t>Figure captions</w:t>
      </w:r>
    </w:p>
    <w:p w:rsidR="000B0056" w:rsidRDefault="000B0056" w:rsidP="000B0056">
      <w:pPr>
        <w:rPr>
          <w:b/>
        </w:rPr>
      </w:pPr>
    </w:p>
    <w:p w:rsidR="000B0056" w:rsidRDefault="000B0056" w:rsidP="000B0056">
      <w:r w:rsidRPr="001C013D">
        <w:t>Figure 1. Subsoil map of the northern part of Ireland</w:t>
      </w:r>
      <w:r w:rsidR="00692CFD">
        <w:t xml:space="preserve">, based on Teagasc Subsoil map (Fealy </w:t>
      </w:r>
      <w:r w:rsidR="00692CFD" w:rsidRPr="00692CFD">
        <w:rPr>
          <w:i/>
        </w:rPr>
        <w:t>et al</w:t>
      </w:r>
      <w:r w:rsidR="00692CFD">
        <w:t>. 2009)</w:t>
      </w:r>
      <w:r w:rsidR="00BB1D61">
        <w:t xml:space="preserve">. </w:t>
      </w:r>
      <w:proofErr w:type="spellStart"/>
      <w:r w:rsidR="00BB1D61" w:rsidRPr="00BB1D61">
        <w:t>Basemaps</w:t>
      </w:r>
      <w:proofErr w:type="spellEnd"/>
      <w:r w:rsidR="00BB1D61" w:rsidRPr="00BB1D61">
        <w:t xml:space="preserve"> ©</w:t>
      </w:r>
      <w:r w:rsidR="00BB1D61">
        <w:t xml:space="preserve"> </w:t>
      </w:r>
      <w:r w:rsidR="00BB1D61" w:rsidRPr="00BB1D61">
        <w:t>Ordnance Survey Ireland Licence No. EN 0047221</w:t>
      </w:r>
      <w:r w:rsidR="00BB1D61">
        <w:t>.</w:t>
      </w:r>
    </w:p>
    <w:p w:rsidR="000B0056" w:rsidRPr="001C013D" w:rsidRDefault="000B0056" w:rsidP="000B0056"/>
    <w:p w:rsidR="000B0056" w:rsidRPr="001C013D" w:rsidRDefault="000B0056" w:rsidP="000B0056">
      <w:pPr>
        <w:spacing w:line="276" w:lineRule="auto"/>
        <w:rPr>
          <w:lang w:val="en-GB"/>
        </w:rPr>
      </w:pPr>
      <w:r w:rsidRPr="001C013D">
        <w:rPr>
          <w:lang w:val="en-GB"/>
        </w:rPr>
        <w:t xml:space="preserve">Figure </w:t>
      </w:r>
      <w:r>
        <w:rPr>
          <w:lang w:val="en-GB"/>
        </w:rPr>
        <w:t>2</w:t>
      </w:r>
      <w:r w:rsidRPr="001C013D">
        <w:rPr>
          <w:lang w:val="en-GB"/>
        </w:rPr>
        <w:t>. Location of known base metal and gold mineralization in study area</w:t>
      </w:r>
      <w:r w:rsidR="00BB1D61">
        <w:rPr>
          <w:lang w:val="en-GB"/>
        </w:rPr>
        <w:t xml:space="preserve">. </w:t>
      </w:r>
      <w:proofErr w:type="spellStart"/>
      <w:r w:rsidR="00BB1D61" w:rsidRPr="00BB1D61">
        <w:rPr>
          <w:lang w:val="en-GB"/>
        </w:rPr>
        <w:t>Basemaps</w:t>
      </w:r>
      <w:proofErr w:type="spellEnd"/>
      <w:r w:rsidR="00BB1D61" w:rsidRPr="00BB1D61">
        <w:rPr>
          <w:lang w:val="en-GB"/>
        </w:rPr>
        <w:t xml:space="preserve"> ©</w:t>
      </w:r>
      <w:r w:rsidR="00BB1D61">
        <w:rPr>
          <w:lang w:val="en-GB"/>
        </w:rPr>
        <w:t xml:space="preserve"> </w:t>
      </w:r>
      <w:r w:rsidR="00BB1D61" w:rsidRPr="00BB1D61">
        <w:rPr>
          <w:lang w:val="en-GB"/>
        </w:rPr>
        <w:t>Ordnance Survey Ireland Licence No. EN 0047221</w:t>
      </w:r>
      <w:r w:rsidR="00BB1D61">
        <w:rPr>
          <w:lang w:val="en-GB"/>
        </w:rPr>
        <w:t>.</w:t>
      </w:r>
    </w:p>
    <w:p w:rsidR="000B0056" w:rsidRPr="001C013D" w:rsidRDefault="000B0056" w:rsidP="000B0056"/>
    <w:p w:rsidR="000B0056" w:rsidRPr="001C013D" w:rsidRDefault="000B0056" w:rsidP="000B0056">
      <w:r w:rsidRPr="001C013D">
        <w:t xml:space="preserve">Figure </w:t>
      </w:r>
      <w:r>
        <w:t>3</w:t>
      </w:r>
      <w:r w:rsidRPr="001C013D">
        <w:t xml:space="preserve"> Land use / cover in the study area (</w:t>
      </w:r>
      <w:proofErr w:type="spellStart"/>
      <w:r w:rsidRPr="001C013D">
        <w:t>Corine</w:t>
      </w:r>
      <w:proofErr w:type="spellEnd"/>
      <w:r w:rsidRPr="001C013D">
        <w:t xml:space="preserve"> 2012)</w:t>
      </w:r>
      <w:r w:rsidR="00BB1D61">
        <w:t xml:space="preserve">. </w:t>
      </w:r>
      <w:proofErr w:type="spellStart"/>
      <w:r w:rsidR="00BB1D61" w:rsidRPr="00BB1D61">
        <w:t>Basemaps</w:t>
      </w:r>
      <w:proofErr w:type="spellEnd"/>
      <w:r w:rsidR="00BB1D61" w:rsidRPr="00BB1D61">
        <w:t xml:space="preserve"> ©</w:t>
      </w:r>
      <w:r w:rsidR="00BB1D61">
        <w:t xml:space="preserve"> </w:t>
      </w:r>
      <w:r w:rsidR="00BB1D61" w:rsidRPr="00BB1D61">
        <w:t>Ordnance Survey Ireland Licence No. EN 0047221</w:t>
      </w:r>
      <w:r w:rsidR="00BB1D61">
        <w:t>.</w:t>
      </w:r>
    </w:p>
    <w:p w:rsidR="000B0056" w:rsidRPr="001C013D" w:rsidRDefault="000B0056" w:rsidP="000B0056"/>
    <w:p w:rsidR="000B0056" w:rsidRDefault="000B0056" w:rsidP="000B0056">
      <w:pPr>
        <w:spacing w:line="276" w:lineRule="auto"/>
      </w:pPr>
      <w:r w:rsidRPr="001C013D">
        <w:t xml:space="preserve">Figure </w:t>
      </w:r>
      <w:r>
        <w:t>4 Piper plots of major ions in Tellus surface water samples, classified by bedrock type</w:t>
      </w:r>
      <w:r w:rsidR="00BB1D61">
        <w:t>.</w:t>
      </w:r>
    </w:p>
    <w:p w:rsidR="000B0056" w:rsidRDefault="000B0056" w:rsidP="000B0056">
      <w:pPr>
        <w:spacing w:line="276" w:lineRule="auto"/>
      </w:pPr>
    </w:p>
    <w:p w:rsidR="000B0056" w:rsidRDefault="000B0056" w:rsidP="000B0056">
      <w:pPr>
        <w:spacing w:line="276" w:lineRule="auto"/>
      </w:pPr>
      <w:r>
        <w:t xml:space="preserve">Figure 5 Distribution of pH in </w:t>
      </w:r>
      <w:proofErr w:type="spellStart"/>
      <w:r>
        <w:t>Tellus</w:t>
      </w:r>
      <w:proofErr w:type="spellEnd"/>
      <w:r>
        <w:t xml:space="preserve"> surface water.</w:t>
      </w:r>
      <w:r w:rsidR="00BB1D61">
        <w:t xml:space="preserve"> </w:t>
      </w:r>
      <w:proofErr w:type="spellStart"/>
      <w:r w:rsidR="00BB1D61" w:rsidRPr="00BB1D61">
        <w:t>Basemaps</w:t>
      </w:r>
      <w:proofErr w:type="spellEnd"/>
      <w:r w:rsidR="00BB1D61" w:rsidRPr="00BB1D61">
        <w:t xml:space="preserve"> ©</w:t>
      </w:r>
      <w:r w:rsidR="00BB1D61">
        <w:t xml:space="preserve"> </w:t>
      </w:r>
      <w:r w:rsidR="00BB1D61" w:rsidRPr="00BB1D61">
        <w:t>Ordnance Survey Ireland Licence No. EN 0047221</w:t>
      </w:r>
      <w:r w:rsidR="00BB1D61">
        <w:t>.</w:t>
      </w:r>
    </w:p>
    <w:p w:rsidR="000B0056" w:rsidRDefault="000B0056" w:rsidP="000B0056">
      <w:pPr>
        <w:spacing w:line="276" w:lineRule="auto"/>
      </w:pPr>
    </w:p>
    <w:p w:rsidR="000B0056" w:rsidRPr="001C013D" w:rsidRDefault="000B0056" w:rsidP="000B0056">
      <w:pPr>
        <w:spacing w:line="276" w:lineRule="auto"/>
      </w:pPr>
      <w:r>
        <w:t xml:space="preserve">Figure 6 </w:t>
      </w:r>
      <w:proofErr w:type="spellStart"/>
      <w:r>
        <w:t>Biplots</w:t>
      </w:r>
      <w:proofErr w:type="spellEnd"/>
      <w:r>
        <w:t xml:space="preserve"> of pH vs. NPOC, Al, Fe, Mg, Ca, </w:t>
      </w:r>
      <w:proofErr w:type="spellStart"/>
      <w:r>
        <w:t>Sr</w:t>
      </w:r>
      <w:proofErr w:type="spellEnd"/>
      <w:r>
        <w:t>, U and Cu.</w:t>
      </w:r>
    </w:p>
    <w:p w:rsidR="000B0056" w:rsidRDefault="000B0056" w:rsidP="000B0056">
      <w:pPr>
        <w:spacing w:line="276" w:lineRule="auto"/>
      </w:pPr>
    </w:p>
    <w:p w:rsidR="001C4A73" w:rsidRDefault="001C4A73" w:rsidP="000B0056">
      <w:pPr>
        <w:spacing w:line="276" w:lineRule="auto"/>
      </w:pPr>
      <w:r>
        <w:t xml:space="preserve">Figure 7 Distribution of Zn in </w:t>
      </w:r>
      <w:proofErr w:type="spellStart"/>
      <w:r>
        <w:t>Tellus</w:t>
      </w:r>
      <w:proofErr w:type="spellEnd"/>
      <w:r>
        <w:t xml:space="preserve"> surface water</w:t>
      </w:r>
      <w:r w:rsidR="00BB1D61">
        <w:t xml:space="preserve">. </w:t>
      </w:r>
      <w:proofErr w:type="spellStart"/>
      <w:r w:rsidR="00BB1D61" w:rsidRPr="00BB1D61">
        <w:t>Basemaps</w:t>
      </w:r>
      <w:proofErr w:type="spellEnd"/>
      <w:r w:rsidR="00BB1D61" w:rsidRPr="00BB1D61">
        <w:t xml:space="preserve"> ©</w:t>
      </w:r>
      <w:r w:rsidR="00BB1D61">
        <w:t xml:space="preserve"> </w:t>
      </w:r>
      <w:bookmarkStart w:id="0" w:name="_GoBack"/>
      <w:bookmarkEnd w:id="0"/>
      <w:r w:rsidR="00BB1D61" w:rsidRPr="00BB1D61">
        <w:t>Ordnance Survey Ireland Licence No. EN 0047221</w:t>
      </w:r>
      <w:r w:rsidR="00BB1D61">
        <w:t>.</w:t>
      </w:r>
    </w:p>
    <w:p w:rsidR="001C4A73" w:rsidRDefault="001C4A73" w:rsidP="000B0056">
      <w:pPr>
        <w:spacing w:line="276" w:lineRule="auto"/>
      </w:pPr>
    </w:p>
    <w:p w:rsidR="000B0056" w:rsidRDefault="000B0056" w:rsidP="007C2205">
      <w:r>
        <w:t xml:space="preserve">Figure </w:t>
      </w:r>
      <w:r w:rsidR="001C4A73">
        <w:t>8</w:t>
      </w:r>
      <w:r w:rsidR="00692CFD">
        <w:t xml:space="preserve"> (</w:t>
      </w:r>
      <w:r>
        <w:t>a</w:t>
      </w:r>
      <w:r w:rsidR="00692CFD">
        <w:t>)</w:t>
      </w:r>
      <w:r>
        <w:t xml:space="preserve"> Ternary diagram of Mg-Ca-K classified by the </w:t>
      </w:r>
      <w:proofErr w:type="spellStart"/>
      <w:r>
        <w:t>lithologies</w:t>
      </w:r>
      <w:proofErr w:type="spellEnd"/>
      <w:r>
        <w:t xml:space="preserve"> underlying the waters sampling sites</w:t>
      </w:r>
      <w:r w:rsidR="00692CFD">
        <w:t>. (</w:t>
      </w:r>
      <w:r>
        <w:t>b</w:t>
      </w:r>
      <w:r w:rsidR="00692CFD">
        <w:t>)</w:t>
      </w:r>
      <w:r>
        <w:t xml:space="preserve"> Ternary diagram of Mg-Ca-K classified as per Figure 7a, with the data centred using </w:t>
      </w:r>
      <w:proofErr w:type="spellStart"/>
      <w:r>
        <w:t>CoDaPack</w:t>
      </w:r>
      <w:proofErr w:type="spellEnd"/>
      <w:r>
        <w:t>.</w:t>
      </w:r>
      <w:r w:rsidR="007C2205">
        <w:t xml:space="preserve"> </w:t>
      </w:r>
      <w:r w:rsidR="007C2205" w:rsidRPr="007C2205">
        <w:rPr>
          <w:lang w:val="en-CA"/>
        </w:rPr>
        <w:t>Note that the Ternary grid for the centred plot is distorted</w:t>
      </w:r>
      <w:r w:rsidR="00BB1D61">
        <w:rPr>
          <w:lang w:val="en-CA"/>
        </w:rPr>
        <w:t>.</w:t>
      </w:r>
    </w:p>
    <w:p w:rsidR="004F6909" w:rsidRDefault="004F6909"/>
    <w:p w:rsidR="000B0056" w:rsidRDefault="000B0056">
      <w:r>
        <w:t xml:space="preserve">Figure </w:t>
      </w:r>
      <w:r w:rsidR="001C4A73">
        <w:t>9</w:t>
      </w:r>
      <w:r>
        <w:t xml:space="preserve"> </w:t>
      </w:r>
      <w:proofErr w:type="spellStart"/>
      <w:r>
        <w:t>Biplot</w:t>
      </w:r>
      <w:proofErr w:type="spellEnd"/>
      <w:r>
        <w:t xml:space="preserve"> of PCA1 vs. PCA2 for Tellus surface water samples, classified by bedrock type.</w:t>
      </w:r>
    </w:p>
    <w:p w:rsidR="000B0056" w:rsidRDefault="000B0056"/>
    <w:p w:rsidR="000B0056" w:rsidRDefault="000B0056">
      <w:r>
        <w:t xml:space="preserve">Figure </w:t>
      </w:r>
      <w:r w:rsidR="001C4A73">
        <w:t>10</w:t>
      </w:r>
      <w:r>
        <w:t xml:space="preserve"> </w:t>
      </w:r>
      <w:proofErr w:type="spellStart"/>
      <w:r>
        <w:t>Biplot</w:t>
      </w:r>
      <w:proofErr w:type="spellEnd"/>
      <w:r>
        <w:t xml:space="preserve"> of PCA1 vs. PCA2 for Tellus surface water samples, classified by SRF Domain</w:t>
      </w:r>
      <w:r w:rsidR="00BB1D61">
        <w:t>.</w:t>
      </w:r>
    </w:p>
    <w:p w:rsidR="000B0056" w:rsidRDefault="000B0056"/>
    <w:p w:rsidR="000B0056" w:rsidRDefault="000B0056">
      <w:r>
        <w:t>Figure 1</w:t>
      </w:r>
      <w:r w:rsidR="001C4A73">
        <w:t>1</w:t>
      </w:r>
      <w:r>
        <w:t xml:space="preserve"> </w:t>
      </w:r>
      <w:proofErr w:type="spellStart"/>
      <w:r>
        <w:t>Biplot</w:t>
      </w:r>
      <w:proofErr w:type="spellEnd"/>
      <w:r>
        <w:t xml:space="preserve"> of PCA1 vs. PCA2 for Tellus surface water samples, classified by </w:t>
      </w:r>
      <w:proofErr w:type="spellStart"/>
      <w:r>
        <w:t>Teagasc</w:t>
      </w:r>
      <w:proofErr w:type="spellEnd"/>
      <w:r>
        <w:t xml:space="preserve"> subsoil class</w:t>
      </w:r>
      <w:r w:rsidR="00BB1D61">
        <w:t>.</w:t>
      </w:r>
    </w:p>
    <w:p w:rsidR="000B0056" w:rsidRDefault="000B0056"/>
    <w:p w:rsidR="000B0056" w:rsidRDefault="000B0056">
      <w:r>
        <w:t>Figure 1</w:t>
      </w:r>
      <w:r w:rsidR="001C4A73">
        <w:t>2</w:t>
      </w:r>
      <w:r>
        <w:t xml:space="preserve"> </w:t>
      </w:r>
      <w:proofErr w:type="spellStart"/>
      <w:r>
        <w:t>Biplot</w:t>
      </w:r>
      <w:proofErr w:type="spellEnd"/>
      <w:r>
        <w:t xml:space="preserve"> of PCA1 vs. PCA2 for Tellus surface water samples, classified by </w:t>
      </w:r>
      <w:proofErr w:type="spellStart"/>
      <w:r>
        <w:t>Corine</w:t>
      </w:r>
      <w:proofErr w:type="spellEnd"/>
      <w:r>
        <w:t xml:space="preserve"> land cover class</w:t>
      </w:r>
      <w:r w:rsidR="00BB1D61">
        <w:t>.</w:t>
      </w:r>
    </w:p>
    <w:p w:rsidR="004F6909" w:rsidRDefault="004F6909"/>
    <w:sectPr w:rsidR="004F6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09"/>
    <w:rsid w:val="000425CC"/>
    <w:rsid w:val="000B0056"/>
    <w:rsid w:val="001C4A73"/>
    <w:rsid w:val="002A4E43"/>
    <w:rsid w:val="003175C1"/>
    <w:rsid w:val="003F5AAF"/>
    <w:rsid w:val="0046473A"/>
    <w:rsid w:val="004F6909"/>
    <w:rsid w:val="004F6B72"/>
    <w:rsid w:val="00526013"/>
    <w:rsid w:val="00641D44"/>
    <w:rsid w:val="00692CFD"/>
    <w:rsid w:val="00761ADF"/>
    <w:rsid w:val="007C2205"/>
    <w:rsid w:val="00946A90"/>
    <w:rsid w:val="00977349"/>
    <w:rsid w:val="009866D4"/>
    <w:rsid w:val="009E3081"/>
    <w:rsid w:val="00A7131B"/>
    <w:rsid w:val="00AC5017"/>
    <w:rsid w:val="00AD7EDE"/>
    <w:rsid w:val="00BB1D61"/>
    <w:rsid w:val="00CE4CB5"/>
    <w:rsid w:val="00EB77D8"/>
    <w:rsid w:val="00ED1D37"/>
    <w:rsid w:val="00F848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0996"/>
  <w15:docId w15:val="{8ABCD654-D089-4432-B7C4-8217C97D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09"/>
    <w:pPr>
      <w:spacing w:after="0" w:line="240" w:lineRule="auto"/>
    </w:pPr>
    <w:rPr>
      <w:rFonts w:ascii="Calibri" w:eastAsiaTheme="minorHAnsi" w:hAnsi="Calibri"/>
    </w:rPr>
  </w:style>
  <w:style w:type="paragraph" w:styleId="Heading1">
    <w:name w:val="heading 1"/>
    <w:basedOn w:val="Normal"/>
    <w:next w:val="Normal"/>
    <w:link w:val="Heading1Char"/>
    <w:uiPriority w:val="9"/>
    <w:qFormat/>
    <w:rsid w:val="004F6B7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2">
    <w:name w:val="heading 2"/>
    <w:basedOn w:val="Normal"/>
    <w:next w:val="Normal"/>
    <w:link w:val="Heading2Char"/>
    <w:uiPriority w:val="9"/>
    <w:unhideWhenUsed/>
    <w:qFormat/>
    <w:rsid w:val="004F6B72"/>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B72"/>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uiPriority w:val="9"/>
    <w:rsid w:val="004F6B72"/>
    <w:rPr>
      <w:rFonts w:asciiTheme="majorHAnsi" w:eastAsiaTheme="majorEastAsia" w:hAnsiTheme="majorHAnsi" w:cstheme="majorBidi"/>
      <w:color w:val="365F91" w:themeColor="accent1" w:themeShade="BF"/>
      <w:sz w:val="26"/>
      <w:szCs w:val="26"/>
      <w:lang w:val="en-CA"/>
    </w:rPr>
  </w:style>
  <w:style w:type="paragraph" w:styleId="BalloonText">
    <w:name w:val="Balloon Text"/>
    <w:basedOn w:val="Normal"/>
    <w:link w:val="BalloonTextChar"/>
    <w:uiPriority w:val="99"/>
    <w:semiHidden/>
    <w:unhideWhenUsed/>
    <w:rsid w:val="004F6B72"/>
    <w:rPr>
      <w:rFonts w:ascii="Tahoma" w:hAnsi="Tahoma" w:cs="Tahoma"/>
      <w:sz w:val="16"/>
      <w:szCs w:val="16"/>
    </w:rPr>
  </w:style>
  <w:style w:type="character" w:customStyle="1" w:styleId="BalloonTextChar">
    <w:name w:val="Balloon Text Char"/>
    <w:basedOn w:val="DefaultParagraphFont"/>
    <w:link w:val="BalloonText"/>
    <w:uiPriority w:val="99"/>
    <w:semiHidden/>
    <w:rsid w:val="004F6B72"/>
    <w:rPr>
      <w:rFonts w:ascii="Tahoma" w:eastAsiaTheme="minorHAnsi" w:hAnsi="Tahoma" w:cs="Tahoma"/>
      <w:sz w:val="16"/>
      <w:szCs w:val="16"/>
    </w:rPr>
  </w:style>
  <w:style w:type="paragraph" w:styleId="NormalWeb">
    <w:name w:val="Normal (Web)"/>
    <w:basedOn w:val="Normal"/>
    <w:uiPriority w:val="99"/>
    <w:semiHidden/>
    <w:unhideWhenUsed/>
    <w:rsid w:val="007C2205"/>
    <w:pPr>
      <w:spacing w:before="100" w:beforeAutospacing="1" w:after="100" w:afterAutospacing="1"/>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946A90"/>
    <w:rPr>
      <w:sz w:val="16"/>
      <w:szCs w:val="16"/>
    </w:rPr>
  </w:style>
  <w:style w:type="paragraph" w:styleId="CommentText">
    <w:name w:val="annotation text"/>
    <w:basedOn w:val="Normal"/>
    <w:link w:val="CommentTextChar"/>
    <w:uiPriority w:val="99"/>
    <w:semiHidden/>
    <w:unhideWhenUsed/>
    <w:rsid w:val="00946A90"/>
    <w:rPr>
      <w:sz w:val="20"/>
      <w:szCs w:val="20"/>
    </w:rPr>
  </w:style>
  <w:style w:type="character" w:customStyle="1" w:styleId="CommentTextChar">
    <w:name w:val="Comment Text Char"/>
    <w:basedOn w:val="DefaultParagraphFont"/>
    <w:link w:val="CommentText"/>
    <w:uiPriority w:val="99"/>
    <w:semiHidden/>
    <w:rsid w:val="00946A90"/>
    <w:rPr>
      <w:rFonts w:ascii="Calibri" w:eastAsiaTheme="minorHAnsi" w:hAnsi="Calibri"/>
      <w:sz w:val="20"/>
      <w:szCs w:val="20"/>
    </w:rPr>
  </w:style>
  <w:style w:type="paragraph" w:styleId="CommentSubject">
    <w:name w:val="annotation subject"/>
    <w:basedOn w:val="CommentText"/>
    <w:next w:val="CommentText"/>
    <w:link w:val="CommentSubjectChar"/>
    <w:uiPriority w:val="99"/>
    <w:semiHidden/>
    <w:unhideWhenUsed/>
    <w:rsid w:val="00946A90"/>
    <w:rPr>
      <w:b/>
      <w:bCs/>
    </w:rPr>
  </w:style>
  <w:style w:type="character" w:customStyle="1" w:styleId="CommentSubjectChar">
    <w:name w:val="Comment Subject Char"/>
    <w:basedOn w:val="CommentTextChar"/>
    <w:link w:val="CommentSubject"/>
    <w:uiPriority w:val="99"/>
    <w:semiHidden/>
    <w:rsid w:val="00946A90"/>
    <w:rPr>
      <w:rFonts w:ascii="Calibri" w:eastAsiaTheme="minorHAnsi" w:hAnsi="Calibri"/>
      <w:b/>
      <w:bCs/>
      <w:sz w:val="20"/>
      <w:szCs w:val="20"/>
    </w:rPr>
  </w:style>
  <w:style w:type="character" w:styleId="Hyperlink">
    <w:name w:val="Hyperlink"/>
    <w:basedOn w:val="DefaultParagraphFont"/>
    <w:uiPriority w:val="99"/>
    <w:unhideWhenUsed/>
    <w:rsid w:val="00692CFD"/>
    <w:rPr>
      <w:color w:val="0000FF" w:themeColor="hyperlink"/>
      <w:u w:val="single"/>
    </w:rPr>
  </w:style>
  <w:style w:type="character" w:styleId="FollowedHyperlink">
    <w:name w:val="FollowedHyperlink"/>
    <w:basedOn w:val="DefaultParagraphFont"/>
    <w:uiPriority w:val="99"/>
    <w:semiHidden/>
    <w:unhideWhenUsed/>
    <w:rsid w:val="00ED1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0572">
      <w:bodyDiv w:val="1"/>
      <w:marLeft w:val="0"/>
      <w:marRight w:val="0"/>
      <w:marTop w:val="0"/>
      <w:marBottom w:val="0"/>
      <w:divBdr>
        <w:top w:val="none" w:sz="0" w:space="0" w:color="auto"/>
        <w:left w:val="none" w:sz="0" w:space="0" w:color="auto"/>
        <w:bottom w:val="none" w:sz="0" w:space="0" w:color="auto"/>
        <w:right w:val="none" w:sz="0" w:space="0" w:color="auto"/>
      </w:divBdr>
    </w:div>
    <w:div w:id="243420056">
      <w:bodyDiv w:val="1"/>
      <w:marLeft w:val="0"/>
      <w:marRight w:val="0"/>
      <w:marTop w:val="0"/>
      <w:marBottom w:val="0"/>
      <w:divBdr>
        <w:top w:val="none" w:sz="0" w:space="0" w:color="auto"/>
        <w:left w:val="none" w:sz="0" w:space="0" w:color="auto"/>
        <w:bottom w:val="none" w:sz="0" w:space="0" w:color="auto"/>
        <w:right w:val="none" w:sz="0" w:space="0" w:color="auto"/>
      </w:divBdr>
    </w:div>
    <w:div w:id="725686552">
      <w:bodyDiv w:val="1"/>
      <w:marLeft w:val="0"/>
      <w:marRight w:val="0"/>
      <w:marTop w:val="0"/>
      <w:marBottom w:val="0"/>
      <w:divBdr>
        <w:top w:val="none" w:sz="0" w:space="0" w:color="auto"/>
        <w:left w:val="none" w:sz="0" w:space="0" w:color="auto"/>
        <w:bottom w:val="none" w:sz="0" w:space="0" w:color="auto"/>
        <w:right w:val="none" w:sz="0" w:space="0" w:color="auto"/>
      </w:divBdr>
    </w:div>
    <w:div w:id="1086224460">
      <w:bodyDiv w:val="1"/>
      <w:marLeft w:val="0"/>
      <w:marRight w:val="0"/>
      <w:marTop w:val="0"/>
      <w:marBottom w:val="0"/>
      <w:divBdr>
        <w:top w:val="none" w:sz="0" w:space="0" w:color="auto"/>
        <w:left w:val="none" w:sz="0" w:space="0" w:color="auto"/>
        <w:bottom w:val="none" w:sz="0" w:space="0" w:color="auto"/>
        <w:right w:val="none" w:sz="0" w:space="0" w:color="auto"/>
      </w:divBdr>
    </w:div>
    <w:div w:id="1411343563">
      <w:bodyDiv w:val="1"/>
      <w:marLeft w:val="0"/>
      <w:marRight w:val="0"/>
      <w:marTop w:val="0"/>
      <w:marBottom w:val="0"/>
      <w:divBdr>
        <w:top w:val="none" w:sz="0" w:space="0" w:color="auto"/>
        <w:left w:val="none" w:sz="0" w:space="0" w:color="auto"/>
        <w:bottom w:val="none" w:sz="0" w:space="0" w:color="auto"/>
        <w:right w:val="none" w:sz="0" w:space="0" w:color="auto"/>
      </w:divBdr>
    </w:div>
    <w:div w:id="1654288745">
      <w:bodyDiv w:val="1"/>
      <w:marLeft w:val="0"/>
      <w:marRight w:val="0"/>
      <w:marTop w:val="0"/>
      <w:marBottom w:val="0"/>
      <w:divBdr>
        <w:top w:val="none" w:sz="0" w:space="0" w:color="auto"/>
        <w:left w:val="none" w:sz="0" w:space="0" w:color="auto"/>
        <w:bottom w:val="none" w:sz="0" w:space="0" w:color="auto"/>
        <w:right w:val="none" w:sz="0" w:space="0" w:color="auto"/>
      </w:divBdr>
    </w:div>
    <w:div w:id="17979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copernicus.eu/pan-european/corine-land-cover" TargetMode="External"/><Relationship Id="rId3" Type="http://schemas.openxmlformats.org/officeDocument/2006/relationships/customXml" Target="../customXml/item3.xml"/><Relationship Id="rId7" Type="http://schemas.openxmlformats.org/officeDocument/2006/relationships/hyperlink" Target="http://www.compositionaldata.com/codapack.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3" ma:contentTypeDescription="Create a new document." ma:contentTypeScope="" ma:versionID="3d664ae9c1c238aa8d3aae842a9fe198">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8ee3b7b5bfa95e204771f4fd1e03ceb2"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E0E52-FABC-4951-8AD4-FADD9ACB47B8}">
  <ds:schemaRefs>
    <ds:schemaRef ds:uri="http://schemas.microsoft.com/sharepoint/v3/contenttype/forms"/>
  </ds:schemaRefs>
</ds:datastoreItem>
</file>

<file path=customXml/itemProps2.xml><?xml version="1.0" encoding="utf-8"?>
<ds:datastoreItem xmlns:ds="http://schemas.openxmlformats.org/officeDocument/2006/customXml" ds:itemID="{B6D55454-2ECF-4A48-9389-94B324BBB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ced3b-310d-45b8-97bf-d36cbbb5d34b"/>
    <ds:schemaRef ds:uri="991330b7-a67c-4846-8b6a-4c888ec25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E0B1D-C5F8-44E6-BC93-66867E7B67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Gallagher</dc:creator>
  <cp:lastModifiedBy>Bethan Littley</cp:lastModifiedBy>
  <cp:revision>2</cp:revision>
  <dcterms:created xsi:type="dcterms:W3CDTF">2021-11-08T12:14:00Z</dcterms:created>
  <dcterms:modified xsi:type="dcterms:W3CDTF">2021-11-08T12:14:00Z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ies>
</file>