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0A850" w14:textId="7B8DA73D" w:rsidR="00EE31FA" w:rsidRDefault="00EE31FA" w:rsidP="00171C2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Calculations</w:t>
      </w:r>
      <w:r w:rsidR="00A05B74">
        <w:rPr>
          <w:rFonts w:ascii="Times New Roman" w:hAnsi="Times New Roman" w:cs="Times New Roman"/>
          <w:b/>
          <w:bCs/>
        </w:rPr>
        <w:t xml:space="preserve"> of sulfur</w:t>
      </w:r>
      <w:r>
        <w:rPr>
          <w:rFonts w:ascii="Times New Roman" w:hAnsi="Times New Roman" w:cs="Times New Roman"/>
          <w:b/>
          <w:bCs/>
        </w:rPr>
        <w:t xml:space="preserve"> </w:t>
      </w:r>
      <w:r w:rsidR="00A05B74">
        <w:rPr>
          <w:rFonts w:ascii="Times New Roman" w:hAnsi="Times New Roman" w:cs="Times New Roman"/>
          <w:b/>
          <w:bCs/>
        </w:rPr>
        <w:t>degassing</w:t>
      </w:r>
    </w:p>
    <w:p w14:paraId="7488E3AE" w14:textId="0455CCBE" w:rsidR="004237DE" w:rsidRDefault="00A05B74" w:rsidP="007525D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Calculations of sulfur degassing for the Torres Formation and Vale do Sol Formation are based on </w:t>
      </w:r>
      <w:proofErr w:type="spellStart"/>
      <w:r>
        <w:rPr>
          <w:rFonts w:ascii="Times New Roman" w:hAnsi="Times New Roman" w:cs="Times New Roman"/>
        </w:rPr>
        <w:t>Thordarson</w:t>
      </w:r>
      <w:proofErr w:type="spellEnd"/>
      <w:r>
        <w:rPr>
          <w:rFonts w:ascii="Times New Roman" w:hAnsi="Times New Roman" w:cs="Times New Roman"/>
        </w:rPr>
        <w:t xml:space="preserve"> &amp; Self (1996) and Marks </w:t>
      </w:r>
      <w:r w:rsidR="004D3D65">
        <w:rPr>
          <w:rFonts w:ascii="Times New Roman" w:hAnsi="Times New Roman" w:cs="Times New Roman"/>
          <w:i/>
          <w:iCs/>
        </w:rPr>
        <w:t>et al</w:t>
      </w:r>
      <w:r w:rsidR="004D3D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(2014).</w:t>
      </w:r>
    </w:p>
    <w:p w14:paraId="23B9FAA3" w14:textId="6A9C58FB" w:rsidR="00A05B74" w:rsidRDefault="00A05B74" w:rsidP="007525D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total amount of sulfur degassed can be estimated by:</w:t>
      </w:r>
    </w:p>
    <w:p w14:paraId="784CBF9C" w14:textId="542A92EC" w:rsidR="00A05B74" w:rsidRDefault="00A05B74" w:rsidP="007525D2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i/>
          <w:iCs/>
        </w:rPr>
        <w:t>M</w:t>
      </w:r>
      <w:r w:rsidRPr="007525D2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s</w:t>
      </w:r>
      <w:proofErr w:type="spellEnd"/>
      <w:r>
        <w:rPr>
          <w:rFonts w:ascii="Times New Roman" w:hAnsi="Times New Roman" w:cs="Times New Roman"/>
          <w:i/>
          <w:iCs/>
        </w:rPr>
        <w:t xml:space="preserve"> =</w:t>
      </w:r>
      <w:r w:rsidR="003A42AA">
        <w:rPr>
          <w:rFonts w:ascii="Times New Roman" w:hAnsi="Times New Roman" w:cs="Times New Roman"/>
          <w:i/>
          <w:iCs/>
        </w:rPr>
        <w:t>10</w:t>
      </w:r>
      <w:r w:rsidR="003A42AA">
        <w:rPr>
          <w:rFonts w:ascii="Times New Roman" w:hAnsi="Times New Roman" w:cs="Times New Roman"/>
          <w:i/>
          <w:iCs/>
          <w:vertAlign w:val="superscript"/>
        </w:rPr>
        <w:t xml:space="preserve">-15 </w:t>
      </w:r>
      <w:r w:rsidR="003A42AA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V</w:t>
      </w:r>
      <w:r w:rsidRPr="007525D2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Pr="007525D2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i/>
          <w:iCs/>
        </w:rPr>
        <w:t xml:space="preserve"> </w:t>
      </w:r>
      <w:r w:rsidRPr="00A05B74">
        <w:rPr>
          <w:rFonts w:ascii="Times New Roman" w:hAnsi="Times New Roman" w:cs="Times New Roman"/>
          <w:i/>
          <w:iCs/>
        </w:rPr>
        <w:t>ρ</w:t>
      </w:r>
      <w:r>
        <w:rPr>
          <w:rFonts w:ascii="Times New Roman" w:hAnsi="Times New Roman" w:cs="Times New Roman"/>
          <w:i/>
          <w:iCs/>
        </w:rPr>
        <w:t xml:space="preserve"> </w:t>
      </w:r>
      <w:r w:rsidR="007525D2" w:rsidRPr="007525D2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525D2" w:rsidRPr="007525D2">
        <w:rPr>
          <w:rFonts w:ascii="Times New Roman" w:hAnsi="Times New Roman" w:cs="Times New Roman"/>
          <w:i/>
          <w:iCs/>
        </w:rPr>
        <w:t>Δ</w:t>
      </w:r>
      <w:r w:rsidR="007525D2">
        <w:rPr>
          <w:rFonts w:ascii="Times New Roman" w:hAnsi="Times New Roman" w:cs="Times New Roman"/>
          <w:i/>
          <w:iCs/>
          <w:sz w:val="20"/>
          <w:szCs w:val="20"/>
        </w:rPr>
        <w:t>sulfur</w:t>
      </w:r>
      <w:proofErr w:type="spellEnd"/>
      <w:r w:rsidR="007525D2">
        <w:rPr>
          <w:rFonts w:ascii="Times New Roman" w:hAnsi="Times New Roman" w:cs="Times New Roman"/>
          <w:sz w:val="20"/>
          <w:szCs w:val="20"/>
        </w:rPr>
        <w:t xml:space="preserve"> x </w:t>
      </w:r>
      <w:r w:rsidR="007525D2"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 w:rsidR="007525D2">
        <w:rPr>
          <w:rFonts w:ascii="Times New Roman" w:hAnsi="Times New Roman" w:cs="Times New Roman"/>
          <w:sz w:val="20"/>
          <w:szCs w:val="20"/>
        </w:rPr>
        <w:t xml:space="preserve">x </w:t>
      </w:r>
      <w:proofErr w:type="spellStart"/>
      <w:r w:rsidR="007525D2" w:rsidRPr="007525D2">
        <w:rPr>
          <w:rFonts w:ascii="Times New Roman" w:hAnsi="Times New Roman" w:cs="Times New Roman"/>
          <w:sz w:val="20"/>
          <w:szCs w:val="20"/>
        </w:rPr>
        <w:t>Φ</w:t>
      </w:r>
      <w:r w:rsidR="007525D2" w:rsidRPr="007525D2">
        <w:rPr>
          <w:rFonts w:ascii="Times New Roman" w:hAnsi="Times New Roman" w:cs="Times New Roman"/>
          <w:sz w:val="18"/>
          <w:szCs w:val="18"/>
          <w:vertAlign w:val="subscript"/>
        </w:rPr>
        <w:t>melt</w:t>
      </w:r>
      <w:proofErr w:type="spellEnd"/>
      <w:r w:rsidR="007525D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86708CA" w14:textId="4C02DDAD" w:rsidR="007525D2" w:rsidRPr="00C42A4E" w:rsidRDefault="007525D2" w:rsidP="007525D2">
      <w:pPr>
        <w:ind w:left="360"/>
        <w:jc w:val="both"/>
        <w:rPr>
          <w:rFonts w:ascii="Times New Roman" w:hAnsi="Times New Roman" w:cs="Times New Roman"/>
        </w:rPr>
      </w:pPr>
      <w:r w:rsidRPr="00C42A4E">
        <w:rPr>
          <w:rFonts w:ascii="Times New Roman" w:hAnsi="Times New Roman" w:cs="Times New Roman"/>
        </w:rPr>
        <w:t xml:space="preserve">where </w:t>
      </w:r>
      <w:proofErr w:type="spellStart"/>
      <w:r w:rsidRPr="00C42A4E">
        <w:rPr>
          <w:rFonts w:ascii="Times New Roman" w:hAnsi="Times New Roman" w:cs="Times New Roman"/>
          <w:i/>
          <w:iCs/>
        </w:rPr>
        <w:t>M</w:t>
      </w:r>
      <w:r w:rsidRPr="00C42A4E">
        <w:rPr>
          <w:rFonts w:ascii="Times New Roman" w:hAnsi="Times New Roman" w:cs="Times New Roman"/>
          <w:i/>
          <w:iCs/>
          <w:vertAlign w:val="subscript"/>
        </w:rPr>
        <w:t>s</w:t>
      </w:r>
      <w:proofErr w:type="spellEnd"/>
      <w:r w:rsidRPr="00C42A4E">
        <w:rPr>
          <w:rFonts w:ascii="Times New Roman" w:hAnsi="Times New Roman" w:cs="Times New Roman"/>
          <w:i/>
          <w:iCs/>
        </w:rPr>
        <w:t xml:space="preserve"> </w:t>
      </w:r>
      <w:r w:rsidRPr="00C42A4E">
        <w:rPr>
          <w:rFonts w:ascii="Times New Roman" w:hAnsi="Times New Roman" w:cs="Times New Roman"/>
        </w:rPr>
        <w:t>is the total mass of SO</w:t>
      </w:r>
      <w:r w:rsidRPr="00C42A4E">
        <w:rPr>
          <w:rFonts w:ascii="Times New Roman" w:hAnsi="Times New Roman" w:cs="Times New Roman"/>
          <w:vertAlign w:val="subscript"/>
        </w:rPr>
        <w:t xml:space="preserve">2 </w:t>
      </w:r>
      <w:r w:rsidRPr="00C42A4E">
        <w:rPr>
          <w:rFonts w:ascii="Times New Roman" w:hAnsi="Times New Roman" w:cs="Times New Roman"/>
        </w:rPr>
        <w:t xml:space="preserve">released in </w:t>
      </w:r>
      <w:proofErr w:type="spellStart"/>
      <w:r w:rsidR="003A42AA" w:rsidRPr="00C42A4E">
        <w:rPr>
          <w:rFonts w:ascii="Times New Roman" w:hAnsi="Times New Roman" w:cs="Times New Roman"/>
        </w:rPr>
        <w:t>teragrams</w:t>
      </w:r>
      <w:proofErr w:type="spellEnd"/>
      <w:r w:rsidRPr="00C42A4E">
        <w:rPr>
          <w:rFonts w:ascii="Times New Roman" w:hAnsi="Times New Roman" w:cs="Times New Roman"/>
        </w:rPr>
        <w:t xml:space="preserve">, </w:t>
      </w:r>
      <w:proofErr w:type="spellStart"/>
      <w:r w:rsidRPr="00C42A4E">
        <w:rPr>
          <w:rFonts w:ascii="Times New Roman" w:hAnsi="Times New Roman" w:cs="Times New Roman"/>
          <w:i/>
          <w:iCs/>
        </w:rPr>
        <w:t>Vm</w:t>
      </w:r>
      <w:proofErr w:type="spellEnd"/>
      <w:r w:rsidRPr="00C42A4E">
        <w:rPr>
          <w:rFonts w:ascii="Times New Roman" w:hAnsi="Times New Roman" w:cs="Times New Roman"/>
          <w:i/>
          <w:iCs/>
        </w:rPr>
        <w:t xml:space="preserve"> </w:t>
      </w:r>
      <w:r w:rsidRPr="00C42A4E">
        <w:rPr>
          <w:rFonts w:ascii="Times New Roman" w:hAnsi="Times New Roman" w:cs="Times New Roman"/>
        </w:rPr>
        <w:t xml:space="preserve">is the volume of magma erupted in each formation, estimated by Rossetti </w:t>
      </w:r>
      <w:r w:rsidRPr="00C42A4E">
        <w:rPr>
          <w:rFonts w:ascii="Times New Roman" w:hAnsi="Times New Roman" w:cs="Times New Roman"/>
          <w:i/>
          <w:iCs/>
        </w:rPr>
        <w:t>et al</w:t>
      </w:r>
      <w:r w:rsidRPr="00C42A4E">
        <w:rPr>
          <w:rFonts w:ascii="Times New Roman" w:hAnsi="Times New Roman" w:cs="Times New Roman"/>
        </w:rPr>
        <w:t xml:space="preserve"> (201</w:t>
      </w:r>
      <w:r w:rsidR="00D50D94">
        <w:rPr>
          <w:rFonts w:ascii="Times New Roman" w:hAnsi="Times New Roman" w:cs="Times New Roman"/>
        </w:rPr>
        <w:t>8</w:t>
      </w:r>
      <w:r w:rsidRPr="00C42A4E">
        <w:rPr>
          <w:rFonts w:ascii="Times New Roman" w:hAnsi="Times New Roman" w:cs="Times New Roman"/>
        </w:rPr>
        <w:t xml:space="preserve">), </w:t>
      </w:r>
      <w:r w:rsidRPr="00C42A4E">
        <w:rPr>
          <w:rFonts w:ascii="Times New Roman" w:hAnsi="Times New Roman" w:cs="Times New Roman"/>
          <w:i/>
          <w:iCs/>
        </w:rPr>
        <w:t xml:space="preserve">ρ </w:t>
      </w:r>
      <w:r w:rsidRPr="00C42A4E">
        <w:rPr>
          <w:rFonts w:ascii="Times New Roman" w:hAnsi="Times New Roman" w:cs="Times New Roman"/>
        </w:rPr>
        <w:t>is the magma density, taken here as 2,7 x 10</w:t>
      </w:r>
      <w:r w:rsidRPr="00C42A4E">
        <w:rPr>
          <w:rFonts w:ascii="Times New Roman" w:hAnsi="Times New Roman" w:cs="Times New Roman"/>
          <w:vertAlign w:val="superscript"/>
        </w:rPr>
        <w:t xml:space="preserve">12 </w:t>
      </w:r>
      <w:r w:rsidRPr="00C42A4E">
        <w:rPr>
          <w:rFonts w:ascii="Times New Roman" w:hAnsi="Times New Roman" w:cs="Times New Roman"/>
        </w:rPr>
        <w:t>kg/km</w:t>
      </w:r>
      <w:r w:rsidRPr="00C42A4E">
        <w:rPr>
          <w:rFonts w:ascii="Times New Roman" w:hAnsi="Times New Roman" w:cs="Times New Roman"/>
          <w:vertAlign w:val="superscript"/>
        </w:rPr>
        <w:t>3</w:t>
      </w:r>
      <w:r w:rsidRPr="00C42A4E">
        <w:rPr>
          <w:rFonts w:ascii="Times New Roman" w:hAnsi="Times New Roman" w:cs="Times New Roman"/>
        </w:rPr>
        <w:t xml:space="preserve">, </w:t>
      </w:r>
      <w:r w:rsidRPr="00C42A4E">
        <w:rPr>
          <w:rFonts w:ascii="Times New Roman" w:hAnsi="Times New Roman" w:cs="Times New Roman"/>
          <w:i/>
          <w:iCs/>
        </w:rPr>
        <w:t xml:space="preserve">e </w:t>
      </w:r>
      <w:r w:rsidRPr="00C42A4E">
        <w:rPr>
          <w:rFonts w:ascii="Times New Roman" w:hAnsi="Times New Roman" w:cs="Times New Roman"/>
        </w:rPr>
        <w:t xml:space="preserve">is the conversion factor necessary to convert pure element </w:t>
      </w:r>
      <w:r w:rsidR="004F29E1">
        <w:rPr>
          <w:rFonts w:ascii="Times New Roman" w:hAnsi="Times New Roman" w:cs="Times New Roman"/>
        </w:rPr>
        <w:t xml:space="preserve">mass </w:t>
      </w:r>
      <w:r w:rsidRPr="00C42A4E">
        <w:rPr>
          <w:rFonts w:ascii="Times New Roman" w:hAnsi="Times New Roman" w:cs="Times New Roman"/>
        </w:rPr>
        <w:t xml:space="preserve">to assumed elemental compound </w:t>
      </w:r>
      <w:r w:rsidR="004F29E1">
        <w:rPr>
          <w:rFonts w:ascii="Times New Roman" w:hAnsi="Times New Roman" w:cs="Times New Roman"/>
        </w:rPr>
        <w:t xml:space="preserve">mass </w:t>
      </w:r>
      <w:r w:rsidRPr="00C42A4E">
        <w:rPr>
          <w:rFonts w:ascii="Times New Roman" w:hAnsi="Times New Roman" w:cs="Times New Roman"/>
        </w:rPr>
        <w:t>(</w:t>
      </w:r>
      <w:proofErr w:type="spellStart"/>
      <w:r w:rsidRPr="00C42A4E">
        <w:rPr>
          <w:rFonts w:ascii="Times New Roman" w:hAnsi="Times New Roman" w:cs="Times New Roman"/>
          <w:i/>
          <w:iCs/>
        </w:rPr>
        <w:t>i.e</w:t>
      </w:r>
      <w:proofErr w:type="spellEnd"/>
      <w:r w:rsidRPr="00C42A4E">
        <w:rPr>
          <w:rFonts w:ascii="Times New Roman" w:hAnsi="Times New Roman" w:cs="Times New Roman"/>
        </w:rPr>
        <w:t>: converting S to SO</w:t>
      </w:r>
      <w:r w:rsidRPr="00C42A4E">
        <w:rPr>
          <w:rFonts w:ascii="Times New Roman" w:hAnsi="Times New Roman" w:cs="Times New Roman"/>
          <w:vertAlign w:val="subscript"/>
        </w:rPr>
        <w:t>2</w:t>
      </w:r>
      <w:r w:rsidRPr="00C42A4E">
        <w:rPr>
          <w:rFonts w:ascii="Times New Roman" w:hAnsi="Times New Roman" w:cs="Times New Roman"/>
        </w:rPr>
        <w:t xml:space="preserve">) taken here as 2. </w:t>
      </w:r>
      <w:proofErr w:type="spellStart"/>
      <w:r w:rsidRPr="00C42A4E">
        <w:rPr>
          <w:rFonts w:ascii="Times New Roman" w:hAnsi="Times New Roman" w:cs="Times New Roman"/>
          <w:i/>
          <w:iCs/>
        </w:rPr>
        <w:t>Δsulfur</w:t>
      </w:r>
      <w:proofErr w:type="spellEnd"/>
      <w:r w:rsidRPr="00C42A4E">
        <w:rPr>
          <w:rFonts w:ascii="Times New Roman" w:hAnsi="Times New Roman" w:cs="Times New Roman"/>
          <w:i/>
          <w:iCs/>
        </w:rPr>
        <w:t xml:space="preserve"> </w:t>
      </w:r>
      <w:r w:rsidR="004D3D65" w:rsidRPr="00C42A4E">
        <w:rPr>
          <w:rFonts w:ascii="Times New Roman" w:hAnsi="Times New Roman" w:cs="Times New Roman"/>
        </w:rPr>
        <w:t xml:space="preserve">is the difference between sulfur content in melt inclusions and sulfur content in lava groundmass glass and is related to the mass of sulfur released. We used the </w:t>
      </w:r>
      <w:proofErr w:type="spellStart"/>
      <w:r w:rsidR="004D3D65" w:rsidRPr="00C42A4E">
        <w:rPr>
          <w:rFonts w:ascii="Times New Roman" w:hAnsi="Times New Roman" w:cs="Times New Roman"/>
          <w:i/>
          <w:iCs/>
        </w:rPr>
        <w:t>Δsulfur</w:t>
      </w:r>
      <w:proofErr w:type="spellEnd"/>
      <w:r w:rsidR="004D3D65" w:rsidRPr="00C42A4E">
        <w:rPr>
          <w:rFonts w:ascii="Times New Roman" w:hAnsi="Times New Roman" w:cs="Times New Roman"/>
          <w:i/>
          <w:iCs/>
        </w:rPr>
        <w:t xml:space="preserve"> </w:t>
      </w:r>
      <w:r w:rsidR="004D3D65" w:rsidRPr="00C42A4E">
        <w:rPr>
          <w:rFonts w:ascii="Times New Roman" w:hAnsi="Times New Roman" w:cs="Times New Roman"/>
        </w:rPr>
        <w:t xml:space="preserve">value of 817 ug/g reported in Marks </w:t>
      </w:r>
      <w:r w:rsidR="004D3D65" w:rsidRPr="00C42A4E">
        <w:rPr>
          <w:rFonts w:ascii="Times New Roman" w:hAnsi="Times New Roman" w:cs="Times New Roman"/>
          <w:i/>
          <w:iCs/>
        </w:rPr>
        <w:t>et al</w:t>
      </w:r>
      <w:r w:rsidR="004D3D65" w:rsidRPr="00C42A4E">
        <w:rPr>
          <w:rFonts w:ascii="Times New Roman" w:hAnsi="Times New Roman" w:cs="Times New Roman"/>
        </w:rPr>
        <w:t xml:space="preserve"> (2014). </w:t>
      </w:r>
      <w:r w:rsidR="00C42A4E">
        <w:rPr>
          <w:rFonts w:ascii="Times New Roman" w:hAnsi="Times New Roman" w:cs="Times New Roman"/>
        </w:rPr>
        <w:t xml:space="preserve">Note that the </w:t>
      </w:r>
      <w:proofErr w:type="spellStart"/>
      <w:r w:rsidR="00C42A4E" w:rsidRPr="00C42A4E">
        <w:rPr>
          <w:rFonts w:ascii="Times New Roman" w:hAnsi="Times New Roman" w:cs="Times New Roman"/>
          <w:i/>
          <w:iCs/>
        </w:rPr>
        <w:t>Δsulfur</w:t>
      </w:r>
      <w:proofErr w:type="spellEnd"/>
      <w:r w:rsidR="00C42A4E">
        <w:rPr>
          <w:rFonts w:ascii="Times New Roman" w:hAnsi="Times New Roman" w:cs="Times New Roman"/>
          <w:i/>
          <w:iCs/>
        </w:rPr>
        <w:t xml:space="preserve"> </w:t>
      </w:r>
      <w:r w:rsidR="00C42A4E">
        <w:rPr>
          <w:rFonts w:ascii="Times New Roman" w:hAnsi="Times New Roman" w:cs="Times New Roman"/>
        </w:rPr>
        <w:t xml:space="preserve">value reported in Marks </w:t>
      </w:r>
      <w:r w:rsidR="00C42A4E">
        <w:rPr>
          <w:rFonts w:ascii="Times New Roman" w:hAnsi="Times New Roman" w:cs="Times New Roman"/>
          <w:i/>
          <w:iCs/>
        </w:rPr>
        <w:t xml:space="preserve">et al </w:t>
      </w:r>
      <w:r w:rsidR="00C42A4E">
        <w:rPr>
          <w:rFonts w:ascii="Times New Roman" w:hAnsi="Times New Roman" w:cs="Times New Roman"/>
        </w:rPr>
        <w:t xml:space="preserve">(2014) already takes into consideration degassing efficiency. </w:t>
      </w:r>
      <w:r w:rsidR="004D3D65" w:rsidRPr="00C42A4E">
        <w:rPr>
          <w:rFonts w:ascii="Times New Roman" w:hAnsi="Times New Roman" w:cs="Times New Roman"/>
        </w:rPr>
        <w:t xml:space="preserve">Finally, the </w:t>
      </w:r>
      <w:proofErr w:type="spellStart"/>
      <w:r w:rsidR="004D3D65" w:rsidRPr="00C42A4E">
        <w:rPr>
          <w:rFonts w:ascii="Times New Roman" w:hAnsi="Times New Roman" w:cs="Times New Roman"/>
        </w:rPr>
        <w:t>Φ</w:t>
      </w:r>
      <w:r w:rsidR="004D3D65" w:rsidRPr="00C42A4E">
        <w:rPr>
          <w:rFonts w:ascii="Times New Roman" w:hAnsi="Times New Roman" w:cs="Times New Roman"/>
          <w:vertAlign w:val="subscript"/>
        </w:rPr>
        <w:t>melt</w:t>
      </w:r>
      <w:proofErr w:type="spellEnd"/>
      <w:r w:rsidR="004D3D65" w:rsidRPr="00C42A4E">
        <w:rPr>
          <w:rFonts w:ascii="Times New Roman" w:hAnsi="Times New Roman" w:cs="Times New Roman"/>
          <w:vertAlign w:val="subscript"/>
        </w:rPr>
        <w:t xml:space="preserve"> </w:t>
      </w:r>
      <w:r w:rsidR="004D3D65" w:rsidRPr="00C42A4E">
        <w:rPr>
          <w:rFonts w:ascii="Times New Roman" w:hAnsi="Times New Roman" w:cs="Times New Roman"/>
        </w:rPr>
        <w:t xml:space="preserve">is the melt volume fraction without crystal since </w:t>
      </w:r>
      <w:r w:rsidR="00171C2B">
        <w:rPr>
          <w:rFonts w:ascii="Times New Roman" w:hAnsi="Times New Roman" w:cs="Times New Roman"/>
        </w:rPr>
        <w:t>these</w:t>
      </w:r>
      <w:r w:rsidR="004D3D65" w:rsidRPr="00C42A4E">
        <w:rPr>
          <w:rFonts w:ascii="Times New Roman" w:hAnsi="Times New Roman" w:cs="Times New Roman"/>
        </w:rPr>
        <w:t xml:space="preserve"> do not contributed to volatile release. For simplification we use a </w:t>
      </w:r>
      <w:proofErr w:type="spellStart"/>
      <w:r w:rsidR="004D3D65" w:rsidRPr="00C42A4E">
        <w:rPr>
          <w:rFonts w:ascii="Times New Roman" w:hAnsi="Times New Roman" w:cs="Times New Roman"/>
        </w:rPr>
        <w:t>Φ</w:t>
      </w:r>
      <w:r w:rsidR="004D3D65" w:rsidRPr="00C42A4E">
        <w:rPr>
          <w:rFonts w:ascii="Times New Roman" w:hAnsi="Times New Roman" w:cs="Times New Roman"/>
          <w:vertAlign w:val="subscript"/>
        </w:rPr>
        <w:t>melt</w:t>
      </w:r>
      <w:proofErr w:type="spellEnd"/>
      <w:r w:rsidR="004D3D65" w:rsidRPr="00C42A4E">
        <w:rPr>
          <w:rFonts w:ascii="Times New Roman" w:hAnsi="Times New Roman" w:cs="Times New Roman"/>
          <w:vertAlign w:val="subscript"/>
        </w:rPr>
        <w:t xml:space="preserve"> </w:t>
      </w:r>
      <w:r w:rsidR="004D3D65" w:rsidRPr="00C42A4E">
        <w:rPr>
          <w:rFonts w:ascii="Times New Roman" w:hAnsi="Times New Roman" w:cs="Times New Roman"/>
        </w:rPr>
        <w:t>of 1 (</w:t>
      </w:r>
      <w:proofErr w:type="spellStart"/>
      <w:r w:rsidR="004D3D65" w:rsidRPr="00C42A4E">
        <w:rPr>
          <w:rFonts w:ascii="Times New Roman" w:hAnsi="Times New Roman" w:cs="Times New Roman"/>
          <w:i/>
          <w:iCs/>
        </w:rPr>
        <w:t>i.e</w:t>
      </w:r>
      <w:proofErr w:type="spellEnd"/>
      <w:r w:rsidR="004D3D65" w:rsidRPr="00C42A4E">
        <w:rPr>
          <w:rFonts w:ascii="Times New Roman" w:hAnsi="Times New Roman" w:cs="Times New Roman"/>
          <w:i/>
          <w:iCs/>
        </w:rPr>
        <w:t xml:space="preserve">: </w:t>
      </w:r>
      <w:r w:rsidR="004D3D65" w:rsidRPr="00C42A4E">
        <w:rPr>
          <w:rFonts w:ascii="Times New Roman" w:hAnsi="Times New Roman" w:cs="Times New Roman"/>
        </w:rPr>
        <w:t xml:space="preserve">aphyric lavas). This is reasonable for Vale do Sol Formation which truly are aphyric, but this value is somewhat lower for the Torres Fm. which is often plagioclase or olivine </w:t>
      </w:r>
      <w:proofErr w:type="spellStart"/>
      <w:r w:rsidR="004D3D65" w:rsidRPr="00C42A4E">
        <w:rPr>
          <w:rFonts w:ascii="Times New Roman" w:hAnsi="Times New Roman" w:cs="Times New Roman"/>
        </w:rPr>
        <w:t>phyric</w:t>
      </w:r>
      <w:proofErr w:type="spellEnd"/>
      <w:r w:rsidR="004D3D65" w:rsidRPr="00C42A4E">
        <w:rPr>
          <w:rFonts w:ascii="Times New Roman" w:hAnsi="Times New Roman" w:cs="Times New Roman"/>
        </w:rPr>
        <w:t xml:space="preserve">. </w:t>
      </w:r>
    </w:p>
    <w:p w14:paraId="1440C772" w14:textId="149A3AFE" w:rsidR="004D3D65" w:rsidRPr="00C42A4E" w:rsidRDefault="004D3D65" w:rsidP="007525D2">
      <w:pPr>
        <w:ind w:left="360"/>
        <w:jc w:val="both"/>
        <w:rPr>
          <w:rFonts w:ascii="Times New Roman" w:hAnsi="Times New Roman" w:cs="Times New Roman"/>
        </w:rPr>
      </w:pPr>
      <w:r w:rsidRPr="00C42A4E">
        <w:rPr>
          <w:rFonts w:ascii="Times New Roman" w:hAnsi="Times New Roman" w:cs="Times New Roman"/>
        </w:rPr>
        <w:t>Using the lower volume estimate for the Torres Formation (4000 km</w:t>
      </w:r>
      <w:r w:rsidRPr="00C42A4E">
        <w:rPr>
          <w:rFonts w:ascii="Times New Roman" w:hAnsi="Times New Roman" w:cs="Times New Roman"/>
          <w:vertAlign w:val="superscript"/>
        </w:rPr>
        <w:t>3</w:t>
      </w:r>
      <w:r w:rsidRPr="00C42A4E">
        <w:rPr>
          <w:rFonts w:ascii="Times New Roman" w:hAnsi="Times New Roman" w:cs="Times New Roman"/>
        </w:rPr>
        <w:t>) and for the Vale do Sol Formation (15 000 km</w:t>
      </w:r>
      <w:r w:rsidRPr="00C42A4E">
        <w:rPr>
          <w:rFonts w:ascii="Times New Roman" w:hAnsi="Times New Roman" w:cs="Times New Roman"/>
          <w:vertAlign w:val="superscript"/>
        </w:rPr>
        <w:t>3</w:t>
      </w:r>
      <w:r w:rsidRPr="00C42A4E">
        <w:rPr>
          <w:rFonts w:ascii="Times New Roman" w:hAnsi="Times New Roman" w:cs="Times New Roman"/>
        </w:rPr>
        <w:t>) the total amount of sulfur released can be estimated:</w:t>
      </w:r>
    </w:p>
    <w:p w14:paraId="6C4CF9CB" w14:textId="3A16FEFB" w:rsidR="004D3D65" w:rsidRPr="00171C2B" w:rsidRDefault="004D3D65" w:rsidP="007525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C2B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171C2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s</w:t>
      </w:r>
      <w:proofErr w:type="spellEnd"/>
      <w:r w:rsidRPr="00171C2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(Torres Formation</w:t>
      </w:r>
      <w:r w:rsidR="00C42A4E" w:rsidRPr="00171C2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- total</w:t>
      </w:r>
      <w:r w:rsidRPr="00171C2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) </w:t>
      </w:r>
      <w:r w:rsidRPr="00171C2B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171C2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="003A42AA" w:rsidRPr="00171C2B">
        <w:rPr>
          <w:rFonts w:ascii="Times New Roman" w:hAnsi="Times New Roman" w:cs="Times New Roman"/>
          <w:sz w:val="28"/>
          <w:szCs w:val="28"/>
        </w:rPr>
        <w:t xml:space="preserve">17 647 </w:t>
      </w:r>
      <w:proofErr w:type="spellStart"/>
      <w:r w:rsidR="003A42AA" w:rsidRPr="00171C2B">
        <w:rPr>
          <w:rFonts w:ascii="Times New Roman" w:hAnsi="Times New Roman" w:cs="Times New Roman"/>
          <w:sz w:val="28"/>
          <w:szCs w:val="28"/>
        </w:rPr>
        <w:t>Tg</w:t>
      </w:r>
      <w:proofErr w:type="spellEnd"/>
    </w:p>
    <w:p w14:paraId="66225E29" w14:textId="2848B946" w:rsidR="004D3D65" w:rsidRPr="00171C2B" w:rsidRDefault="004D3D65" w:rsidP="007525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C2B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171C2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s</w:t>
      </w:r>
      <w:proofErr w:type="spellEnd"/>
      <w:r w:rsidRPr="00171C2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(Vale </w:t>
      </w:r>
      <w:r w:rsidRPr="00171C2B">
        <w:rPr>
          <w:rFonts w:ascii="Times New Roman" w:hAnsi="Times New Roman" w:cs="Times New Roman"/>
          <w:sz w:val="28"/>
          <w:szCs w:val="28"/>
          <w:vertAlign w:val="subscript"/>
        </w:rPr>
        <w:t>do sol formation</w:t>
      </w:r>
      <w:r w:rsidR="00C42A4E" w:rsidRPr="00171C2B">
        <w:rPr>
          <w:rFonts w:ascii="Times New Roman" w:hAnsi="Times New Roman" w:cs="Times New Roman"/>
          <w:sz w:val="28"/>
          <w:szCs w:val="28"/>
          <w:vertAlign w:val="subscript"/>
        </w:rPr>
        <w:t xml:space="preserve"> - total</w:t>
      </w:r>
      <w:r w:rsidRPr="00171C2B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171C2B">
        <w:rPr>
          <w:rFonts w:ascii="Times New Roman" w:hAnsi="Times New Roman" w:cs="Times New Roman"/>
          <w:sz w:val="28"/>
          <w:szCs w:val="28"/>
        </w:rPr>
        <w:t>=</w:t>
      </w:r>
      <w:r w:rsidR="003A42AA" w:rsidRPr="00171C2B">
        <w:rPr>
          <w:rFonts w:ascii="Times New Roman" w:hAnsi="Times New Roman" w:cs="Times New Roman"/>
          <w:sz w:val="28"/>
          <w:szCs w:val="28"/>
        </w:rPr>
        <w:t xml:space="preserve"> 66 177 </w:t>
      </w:r>
      <w:proofErr w:type="spellStart"/>
      <w:r w:rsidR="003A42AA" w:rsidRPr="00171C2B">
        <w:rPr>
          <w:rFonts w:ascii="Times New Roman" w:hAnsi="Times New Roman" w:cs="Times New Roman"/>
          <w:sz w:val="28"/>
          <w:szCs w:val="28"/>
        </w:rPr>
        <w:t>Tg</w:t>
      </w:r>
      <w:proofErr w:type="spellEnd"/>
    </w:p>
    <w:p w14:paraId="483AEB1A" w14:textId="675A4C7F" w:rsidR="00C42A4E" w:rsidRDefault="00C42A4E" w:rsidP="007525D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Lastly, we estimate the mass released at the vent and by lava flow degassing by assuming that 75% of the volatile mass is released at the vents and the remainder is released by lava flow (see Self </w:t>
      </w:r>
      <w:r>
        <w:rPr>
          <w:rFonts w:ascii="Times New Roman" w:hAnsi="Times New Roman" w:cs="Times New Roman"/>
          <w:i/>
          <w:iCs/>
        </w:rPr>
        <w:t>et al</w:t>
      </w:r>
      <w:r>
        <w:rPr>
          <w:rFonts w:ascii="Times New Roman" w:hAnsi="Times New Roman" w:cs="Times New Roman"/>
        </w:rPr>
        <w:t xml:space="preserve">, 2006). </w:t>
      </w:r>
      <w:proofErr w:type="gramStart"/>
      <w:r>
        <w:rPr>
          <w:rFonts w:ascii="Times New Roman" w:hAnsi="Times New Roman" w:cs="Times New Roman"/>
        </w:rPr>
        <w:t>Therefore;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5987908" w14:textId="4809B0F7" w:rsidR="00C42A4E" w:rsidRPr="00171C2B" w:rsidRDefault="00C42A4E" w:rsidP="007525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C2B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171C2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s</w:t>
      </w:r>
      <w:proofErr w:type="spellEnd"/>
      <w:r w:rsidRPr="00171C2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(Torres Formation - vent) </w:t>
      </w:r>
      <w:r w:rsidRPr="00171C2B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171C2B">
        <w:rPr>
          <w:rFonts w:ascii="Times New Roman" w:hAnsi="Times New Roman" w:cs="Times New Roman"/>
          <w:sz w:val="28"/>
          <w:szCs w:val="28"/>
        </w:rPr>
        <w:t xml:space="preserve">13 235 </w:t>
      </w:r>
      <w:proofErr w:type="spellStart"/>
      <w:r w:rsidRPr="00171C2B">
        <w:rPr>
          <w:rFonts w:ascii="Times New Roman" w:hAnsi="Times New Roman" w:cs="Times New Roman"/>
          <w:sz w:val="28"/>
          <w:szCs w:val="28"/>
        </w:rPr>
        <w:t>Tg</w:t>
      </w:r>
      <w:proofErr w:type="spellEnd"/>
    </w:p>
    <w:p w14:paraId="36D6D9A2" w14:textId="6C0823C6" w:rsidR="00C42A4E" w:rsidRPr="00171C2B" w:rsidRDefault="00C42A4E" w:rsidP="007525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C2B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171C2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s</w:t>
      </w:r>
      <w:proofErr w:type="spellEnd"/>
      <w:r w:rsidRPr="00171C2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(Torres Formation – lava flow) </w:t>
      </w:r>
      <w:r w:rsidRPr="00171C2B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171C2B">
        <w:rPr>
          <w:rFonts w:ascii="Times New Roman" w:hAnsi="Times New Roman" w:cs="Times New Roman"/>
          <w:sz w:val="28"/>
          <w:szCs w:val="28"/>
        </w:rPr>
        <w:t xml:space="preserve">4 412 </w:t>
      </w:r>
      <w:proofErr w:type="spellStart"/>
      <w:r w:rsidRPr="00171C2B">
        <w:rPr>
          <w:rFonts w:ascii="Times New Roman" w:hAnsi="Times New Roman" w:cs="Times New Roman"/>
          <w:sz w:val="28"/>
          <w:szCs w:val="28"/>
        </w:rPr>
        <w:t>Tg</w:t>
      </w:r>
      <w:proofErr w:type="spellEnd"/>
    </w:p>
    <w:p w14:paraId="4FDFCEBB" w14:textId="43D4D826" w:rsidR="00C42A4E" w:rsidRPr="00171C2B" w:rsidRDefault="00C42A4E" w:rsidP="007525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C2B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171C2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s</w:t>
      </w:r>
      <w:proofErr w:type="spellEnd"/>
      <w:r w:rsidRPr="00171C2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(Vale do Sol Formation- vent) </w:t>
      </w:r>
      <w:r w:rsidRPr="00171C2B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171C2B">
        <w:rPr>
          <w:rFonts w:ascii="Times New Roman" w:hAnsi="Times New Roman" w:cs="Times New Roman"/>
          <w:sz w:val="28"/>
          <w:szCs w:val="28"/>
        </w:rPr>
        <w:t xml:space="preserve">49 632 </w:t>
      </w:r>
      <w:proofErr w:type="spellStart"/>
      <w:r w:rsidRPr="00171C2B">
        <w:rPr>
          <w:rFonts w:ascii="Times New Roman" w:hAnsi="Times New Roman" w:cs="Times New Roman"/>
          <w:sz w:val="28"/>
          <w:szCs w:val="28"/>
        </w:rPr>
        <w:t>Tg</w:t>
      </w:r>
      <w:proofErr w:type="spellEnd"/>
    </w:p>
    <w:p w14:paraId="3F284859" w14:textId="58BF5416" w:rsidR="00C42A4E" w:rsidRPr="00171C2B" w:rsidRDefault="00C42A4E" w:rsidP="007525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C2B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171C2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s</w:t>
      </w:r>
      <w:proofErr w:type="spellEnd"/>
      <w:r w:rsidRPr="00171C2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(Vale do Sol Formation- lava flow) </w:t>
      </w:r>
      <w:r w:rsidRPr="00171C2B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171C2B">
        <w:rPr>
          <w:rFonts w:ascii="Times New Roman" w:hAnsi="Times New Roman" w:cs="Times New Roman"/>
          <w:sz w:val="28"/>
          <w:szCs w:val="28"/>
        </w:rPr>
        <w:t xml:space="preserve">16 544 </w:t>
      </w:r>
      <w:proofErr w:type="spellStart"/>
      <w:r w:rsidRPr="00171C2B">
        <w:rPr>
          <w:rFonts w:ascii="Times New Roman" w:hAnsi="Times New Roman" w:cs="Times New Roman"/>
          <w:sz w:val="28"/>
          <w:szCs w:val="28"/>
        </w:rPr>
        <w:t>Tg</w:t>
      </w:r>
      <w:proofErr w:type="spellEnd"/>
    </w:p>
    <w:p w14:paraId="3F09ADBA" w14:textId="715A9B53" w:rsidR="00981B16" w:rsidRDefault="00981B16" w:rsidP="007525D2">
      <w:pPr>
        <w:ind w:left="360"/>
        <w:jc w:val="both"/>
        <w:rPr>
          <w:rFonts w:ascii="Times New Roman" w:hAnsi="Times New Roman" w:cs="Times New Roman"/>
        </w:rPr>
      </w:pPr>
    </w:p>
    <w:p w14:paraId="3C05A86D" w14:textId="742A3A4A" w:rsidR="00981B16" w:rsidRDefault="00981B16" w:rsidP="007525D2">
      <w:pPr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References </w:t>
      </w:r>
    </w:p>
    <w:p w14:paraId="2AECA881" w14:textId="77777777" w:rsidR="00D50D94" w:rsidRPr="00F0751E" w:rsidRDefault="00D50D94" w:rsidP="00D50D9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F0751E">
        <w:rPr>
          <w:rFonts w:ascii="Calibri" w:hAnsi="Calibri" w:cs="Calibri"/>
          <w:noProof/>
          <w:szCs w:val="24"/>
        </w:rPr>
        <w:t xml:space="preserve">Marks, L., Keiding, J., Wenzel, T., Trumbull, R.B., Veksler, I., Wiedenbeck, M. and Markl, G. 2014. F, Cl, and S concentrations in olivine-hosted melt inclusions from mafic dikes in NW Namibia and implications for the environmental impact of the Paraná-Etendeka Large Igneous Province. </w:t>
      </w:r>
      <w:r w:rsidRPr="00F0751E">
        <w:rPr>
          <w:rFonts w:ascii="Calibri" w:hAnsi="Calibri" w:cs="Calibri"/>
          <w:i/>
          <w:iCs/>
          <w:noProof/>
          <w:szCs w:val="24"/>
        </w:rPr>
        <w:t>Earth and Planetary Science Letters</w:t>
      </w:r>
      <w:r w:rsidRPr="00F0751E">
        <w:rPr>
          <w:rFonts w:ascii="Calibri" w:hAnsi="Calibri" w:cs="Calibri"/>
          <w:noProof/>
          <w:szCs w:val="24"/>
        </w:rPr>
        <w:t xml:space="preserve">, </w:t>
      </w:r>
      <w:r w:rsidRPr="00F0751E">
        <w:rPr>
          <w:rFonts w:ascii="Calibri" w:hAnsi="Calibri" w:cs="Calibri"/>
          <w:b/>
          <w:bCs/>
          <w:noProof/>
          <w:szCs w:val="24"/>
        </w:rPr>
        <w:t>392</w:t>
      </w:r>
      <w:r w:rsidRPr="00F0751E">
        <w:rPr>
          <w:rFonts w:ascii="Calibri" w:hAnsi="Calibri" w:cs="Calibri"/>
          <w:noProof/>
          <w:szCs w:val="24"/>
        </w:rPr>
        <w:t>, 39–49, https://doi.org/10.1016/j.epsl.2014.01.057.</w:t>
      </w:r>
    </w:p>
    <w:p w14:paraId="7DDB27B6" w14:textId="77777777" w:rsidR="00D50D94" w:rsidRPr="00F0751E" w:rsidRDefault="00D50D94" w:rsidP="00D50D9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F0751E">
        <w:rPr>
          <w:rFonts w:ascii="Calibri" w:hAnsi="Calibri" w:cs="Calibri"/>
          <w:noProof/>
          <w:szCs w:val="24"/>
        </w:rPr>
        <w:t xml:space="preserve">Petry, K., Jerram, D.A., de Almeida, D. del P.M. and Zerfass, H. 2007. Volcanic-sedimentary features in the Serra Geral Fm., Paraná Basin, southern Brazil: Examples of dynamic lava-sediment interactions in an arid setting. </w:t>
      </w:r>
      <w:r w:rsidRPr="00F0751E">
        <w:rPr>
          <w:rFonts w:ascii="Calibri" w:hAnsi="Calibri" w:cs="Calibri"/>
          <w:i/>
          <w:iCs/>
          <w:noProof/>
          <w:szCs w:val="24"/>
        </w:rPr>
        <w:t>Journal of Volcanology and Geothermal Research</w:t>
      </w:r>
      <w:r w:rsidRPr="00F0751E">
        <w:rPr>
          <w:rFonts w:ascii="Calibri" w:hAnsi="Calibri" w:cs="Calibri"/>
          <w:noProof/>
          <w:szCs w:val="24"/>
        </w:rPr>
        <w:t xml:space="preserve">, </w:t>
      </w:r>
      <w:r w:rsidRPr="00F0751E">
        <w:rPr>
          <w:rFonts w:ascii="Calibri" w:hAnsi="Calibri" w:cs="Calibri"/>
          <w:b/>
          <w:bCs/>
          <w:noProof/>
          <w:szCs w:val="24"/>
        </w:rPr>
        <w:t>159</w:t>
      </w:r>
      <w:r w:rsidRPr="00F0751E">
        <w:rPr>
          <w:rFonts w:ascii="Calibri" w:hAnsi="Calibri" w:cs="Calibri"/>
          <w:noProof/>
          <w:szCs w:val="24"/>
        </w:rPr>
        <w:t>, 313–325, https://doi.org/10.1016/j.jvolgeores.2006.06.017.</w:t>
      </w:r>
    </w:p>
    <w:p w14:paraId="49BBD8D2" w14:textId="77777777" w:rsidR="00D50D94" w:rsidRPr="00F0751E" w:rsidRDefault="00D50D94" w:rsidP="00D50D9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lastRenderedPageBreak/>
        <w:t xml:space="preserve">Rossetti, L.M.M, 2018b </w:t>
      </w:r>
      <w:r w:rsidRPr="00F9785E">
        <w:rPr>
          <w:rFonts w:ascii="Calibri" w:hAnsi="Calibri" w:cs="Calibri"/>
          <w:i/>
          <w:iCs/>
          <w:noProof/>
          <w:szCs w:val="24"/>
        </w:rPr>
        <w:t>Lithostratigraphy and Geochemistry of the Paraná-Etendeka Large Igneous Province and Constraints on the Petrophysical Properties of Volcano-Sedimentary Sequences</w:t>
      </w:r>
      <w:r w:rsidRPr="00F9785E">
        <w:rPr>
          <w:rFonts w:ascii="Calibri" w:hAnsi="Calibri" w:cs="Calibri"/>
          <w:noProof/>
          <w:szCs w:val="24"/>
        </w:rPr>
        <w:t>. PhD Thesis, University of Aberdeen, p. 292.</w:t>
      </w:r>
    </w:p>
    <w:p w14:paraId="130B1336" w14:textId="50F09ABB" w:rsidR="00D50D94" w:rsidRDefault="00D50D94" w:rsidP="007525D2">
      <w:pPr>
        <w:ind w:left="360"/>
        <w:jc w:val="both"/>
        <w:rPr>
          <w:rFonts w:ascii="Calibri" w:hAnsi="Calibri" w:cs="Calibri"/>
          <w:noProof/>
          <w:szCs w:val="24"/>
        </w:rPr>
      </w:pPr>
      <w:r w:rsidRPr="00F0751E">
        <w:rPr>
          <w:rFonts w:ascii="Calibri" w:hAnsi="Calibri" w:cs="Calibri"/>
          <w:noProof/>
          <w:szCs w:val="24"/>
        </w:rPr>
        <w:t xml:space="preserve">Self, S., Widdowson, M., Thordarson, T. and Jay, A.E. 2006. Volatile fluxes during flood basalt eruptions and potential effects on the global environment: A Deccan perspective. </w:t>
      </w:r>
      <w:r w:rsidRPr="00F0751E">
        <w:rPr>
          <w:rFonts w:ascii="Calibri" w:hAnsi="Calibri" w:cs="Calibri"/>
          <w:i/>
          <w:iCs/>
          <w:noProof/>
          <w:szCs w:val="24"/>
        </w:rPr>
        <w:t>Earth and Planetary Science Letters</w:t>
      </w:r>
      <w:r w:rsidRPr="00F0751E">
        <w:rPr>
          <w:rFonts w:ascii="Calibri" w:hAnsi="Calibri" w:cs="Calibri"/>
          <w:noProof/>
          <w:szCs w:val="24"/>
        </w:rPr>
        <w:t xml:space="preserve">, </w:t>
      </w:r>
      <w:r w:rsidRPr="00F0751E">
        <w:rPr>
          <w:rFonts w:ascii="Calibri" w:hAnsi="Calibri" w:cs="Calibri"/>
          <w:b/>
          <w:bCs/>
          <w:noProof/>
          <w:szCs w:val="24"/>
        </w:rPr>
        <w:t>248</w:t>
      </w:r>
      <w:r w:rsidRPr="00F0751E">
        <w:rPr>
          <w:rFonts w:ascii="Calibri" w:hAnsi="Calibri" w:cs="Calibri"/>
          <w:noProof/>
          <w:szCs w:val="24"/>
        </w:rPr>
        <w:t xml:space="preserve">, 518–532, </w:t>
      </w:r>
      <w:hyperlink r:id="rId6" w:history="1">
        <w:r w:rsidRPr="009D4997">
          <w:rPr>
            <w:rStyle w:val="Hyperlink"/>
            <w:rFonts w:ascii="Calibri" w:hAnsi="Calibri" w:cs="Calibri"/>
            <w:noProof/>
            <w:szCs w:val="24"/>
          </w:rPr>
          <w:t>https://doi.org/10.1016/j.epsl.2006.05.041</w:t>
        </w:r>
      </w:hyperlink>
    </w:p>
    <w:p w14:paraId="7D305AB1" w14:textId="77777777" w:rsidR="00D50D94" w:rsidRPr="00F0751E" w:rsidRDefault="00D50D94" w:rsidP="00D50D9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F0751E">
        <w:rPr>
          <w:rFonts w:ascii="Calibri" w:hAnsi="Calibri" w:cs="Calibri"/>
          <w:noProof/>
          <w:szCs w:val="24"/>
        </w:rPr>
        <w:t xml:space="preserve">Thordarson, T. and Self, S. 1996. Sulfur, chlorine and fluorine degassing and atmospheric loading by the Roza eruption, Columbia River Basalt Group, Washington, USA. </w:t>
      </w:r>
      <w:r w:rsidRPr="00F0751E">
        <w:rPr>
          <w:rFonts w:ascii="Calibri" w:hAnsi="Calibri" w:cs="Calibri"/>
          <w:i/>
          <w:iCs/>
          <w:noProof/>
          <w:szCs w:val="24"/>
        </w:rPr>
        <w:t>Journal of Volcanology and Geothermal Research</w:t>
      </w:r>
      <w:r w:rsidRPr="00F0751E">
        <w:rPr>
          <w:rFonts w:ascii="Calibri" w:hAnsi="Calibri" w:cs="Calibri"/>
          <w:noProof/>
          <w:szCs w:val="24"/>
        </w:rPr>
        <w:t xml:space="preserve">, </w:t>
      </w:r>
      <w:r w:rsidRPr="00F0751E">
        <w:rPr>
          <w:rFonts w:ascii="Calibri" w:hAnsi="Calibri" w:cs="Calibri"/>
          <w:b/>
          <w:bCs/>
          <w:noProof/>
          <w:szCs w:val="24"/>
        </w:rPr>
        <w:t>74</w:t>
      </w:r>
      <w:r w:rsidRPr="00F0751E">
        <w:rPr>
          <w:rFonts w:ascii="Calibri" w:hAnsi="Calibri" w:cs="Calibri"/>
          <w:noProof/>
          <w:szCs w:val="24"/>
        </w:rPr>
        <w:t>, 49–73, https://doi.org/10.1016/S0377-0273(96)00054-6.</w:t>
      </w:r>
    </w:p>
    <w:p w14:paraId="087C4F2D" w14:textId="77777777" w:rsidR="00D50D94" w:rsidRPr="00981B16" w:rsidRDefault="00D50D94" w:rsidP="007525D2">
      <w:pPr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D50D94" w:rsidRPr="00981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A409C"/>
    <w:multiLevelType w:val="hybridMultilevel"/>
    <w:tmpl w:val="D250E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E8"/>
    <w:rsid w:val="00011341"/>
    <w:rsid w:val="00046DE6"/>
    <w:rsid w:val="0009359E"/>
    <w:rsid w:val="001044DB"/>
    <w:rsid w:val="001044F8"/>
    <w:rsid w:val="00110662"/>
    <w:rsid w:val="00124CC9"/>
    <w:rsid w:val="001431F4"/>
    <w:rsid w:val="00153BFD"/>
    <w:rsid w:val="00171C2B"/>
    <w:rsid w:val="00195033"/>
    <w:rsid w:val="00265D44"/>
    <w:rsid w:val="002B5667"/>
    <w:rsid w:val="00314486"/>
    <w:rsid w:val="00347E63"/>
    <w:rsid w:val="003903C8"/>
    <w:rsid w:val="003A42AA"/>
    <w:rsid w:val="003B2CA4"/>
    <w:rsid w:val="003B35AA"/>
    <w:rsid w:val="003C5F42"/>
    <w:rsid w:val="0040710E"/>
    <w:rsid w:val="00420B2D"/>
    <w:rsid w:val="004237DE"/>
    <w:rsid w:val="0043248B"/>
    <w:rsid w:val="00444827"/>
    <w:rsid w:val="004D3D65"/>
    <w:rsid w:val="004E2833"/>
    <w:rsid w:val="004F29E1"/>
    <w:rsid w:val="005143E6"/>
    <w:rsid w:val="005443D8"/>
    <w:rsid w:val="00604670"/>
    <w:rsid w:val="00622D89"/>
    <w:rsid w:val="006B1B21"/>
    <w:rsid w:val="006D1E28"/>
    <w:rsid w:val="006D6153"/>
    <w:rsid w:val="00710ADD"/>
    <w:rsid w:val="007525D2"/>
    <w:rsid w:val="008771CB"/>
    <w:rsid w:val="008B52D8"/>
    <w:rsid w:val="008C0D64"/>
    <w:rsid w:val="008C6D3C"/>
    <w:rsid w:val="00942702"/>
    <w:rsid w:val="009803F6"/>
    <w:rsid w:val="00981B16"/>
    <w:rsid w:val="0099201C"/>
    <w:rsid w:val="009A75CD"/>
    <w:rsid w:val="00A05B74"/>
    <w:rsid w:val="00A90F73"/>
    <w:rsid w:val="00B418E8"/>
    <w:rsid w:val="00BB6717"/>
    <w:rsid w:val="00C173D0"/>
    <w:rsid w:val="00C42A4E"/>
    <w:rsid w:val="00CC13C9"/>
    <w:rsid w:val="00CD7E65"/>
    <w:rsid w:val="00D50D94"/>
    <w:rsid w:val="00DA1F70"/>
    <w:rsid w:val="00DB2266"/>
    <w:rsid w:val="00DE3114"/>
    <w:rsid w:val="00DF360D"/>
    <w:rsid w:val="00E23827"/>
    <w:rsid w:val="00E67436"/>
    <w:rsid w:val="00EA2AB6"/>
    <w:rsid w:val="00EB3468"/>
    <w:rsid w:val="00EC303C"/>
    <w:rsid w:val="00ED33E7"/>
    <w:rsid w:val="00EE31FA"/>
    <w:rsid w:val="00EF73FF"/>
    <w:rsid w:val="00F30D4F"/>
    <w:rsid w:val="00F873A6"/>
    <w:rsid w:val="00F90E2A"/>
    <w:rsid w:val="00F951C0"/>
    <w:rsid w:val="00FA56FF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CFD0"/>
  <w15:chartTrackingRefBased/>
  <w15:docId w15:val="{1F75C0FD-F5A0-461F-937F-A4639486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468"/>
    <w:pPr>
      <w:ind w:left="720"/>
      <w:contextualSpacing/>
    </w:pPr>
  </w:style>
  <w:style w:type="table" w:styleId="TableGrid">
    <w:name w:val="Table Grid"/>
    <w:basedOn w:val="TableNormal"/>
    <w:uiPriority w:val="39"/>
    <w:rsid w:val="0009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90E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0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epsl.2006.05.0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F79E-F726-4E9F-A3B9-BDA2B80D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Godoi Pereira da Cruz</dc:creator>
  <cp:keywords/>
  <dc:description/>
  <cp:lastModifiedBy>Armstrong</cp:lastModifiedBy>
  <cp:revision>65</cp:revision>
  <dcterms:created xsi:type="dcterms:W3CDTF">2020-06-04T13:35:00Z</dcterms:created>
  <dcterms:modified xsi:type="dcterms:W3CDTF">2021-07-09T15:43:00Z</dcterms:modified>
</cp:coreProperties>
</file>