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012F" w:rsidRDefault="006835EA" w:rsidP="006F012F">
      <w:pPr>
        <w:spacing w:line="480" w:lineRule="auto"/>
      </w:pPr>
      <w:r>
        <w:t>Supplemental Text</w:t>
      </w:r>
      <w:r w:rsidR="006F012F">
        <w:t xml:space="preserve"> </w:t>
      </w:r>
    </w:p>
    <w:p w:rsidR="00372CD7" w:rsidRDefault="00372CD7" w:rsidP="00372CD7">
      <w:pPr>
        <w:autoSpaceDE w:val="0"/>
        <w:autoSpaceDN w:val="0"/>
        <w:adjustRightInd w:val="0"/>
        <w:spacing w:line="480" w:lineRule="auto"/>
        <w:rPr>
          <w:rFonts w:cs="Times New Roman"/>
          <w:szCs w:val="24"/>
        </w:rPr>
      </w:pPr>
      <w:r>
        <w:rPr>
          <w:rFonts w:cs="Times New Roman"/>
          <w:szCs w:val="24"/>
        </w:rPr>
        <w:t>Refined sediment source characterization via bivariate non-negative matrix factorization of detrital provenance indicators</w:t>
      </w:r>
    </w:p>
    <w:p w:rsidR="00372CD7" w:rsidRPr="00D02CC0" w:rsidRDefault="00372CD7" w:rsidP="00372CD7">
      <w:pPr>
        <w:autoSpaceDE w:val="0"/>
        <w:autoSpaceDN w:val="0"/>
        <w:adjustRightInd w:val="0"/>
        <w:spacing w:line="480" w:lineRule="auto"/>
        <w:rPr>
          <w:rFonts w:cs="Times New Roman"/>
          <w:szCs w:val="24"/>
        </w:rPr>
      </w:pPr>
      <w:r>
        <w:rPr>
          <w:rFonts w:cs="Times New Roman"/>
          <w:szCs w:val="24"/>
        </w:rPr>
        <w:t>Joel E. Saylor</w:t>
      </w:r>
    </w:p>
    <w:p w:rsidR="00372CD7" w:rsidRDefault="00372CD7" w:rsidP="00372CD7">
      <w:pPr>
        <w:spacing w:line="480" w:lineRule="auto"/>
      </w:pPr>
      <w:r>
        <w:rPr>
          <w:rFonts w:cs="Times New Roman"/>
          <w:szCs w:val="24"/>
        </w:rPr>
        <w:t xml:space="preserve">Kurt E. </w:t>
      </w:r>
      <w:proofErr w:type="spellStart"/>
      <w:r>
        <w:rPr>
          <w:rFonts w:cs="Times New Roman"/>
          <w:szCs w:val="24"/>
        </w:rPr>
        <w:t>Sundell</w:t>
      </w:r>
      <w:proofErr w:type="spellEnd"/>
    </w:p>
    <w:p w:rsidR="00372CD7" w:rsidRDefault="00372CD7" w:rsidP="00372CD7">
      <w:pPr>
        <w:spacing w:line="480" w:lineRule="auto"/>
      </w:pPr>
    </w:p>
    <w:p w:rsidR="00372CD7" w:rsidRDefault="008F4D4F" w:rsidP="00372CD7">
      <w:pPr>
        <w:spacing w:line="480" w:lineRule="auto"/>
        <w:jc w:val="both"/>
        <w:rPr>
          <w:rFonts w:cs="Times New Roman"/>
          <w:szCs w:val="24"/>
        </w:rPr>
      </w:pPr>
      <w:r>
        <w:rPr>
          <w:rFonts w:cs="Times New Roman"/>
          <w:szCs w:val="24"/>
        </w:rPr>
        <w:t>Three</w:t>
      </w:r>
      <w:r w:rsidR="005F65EF">
        <w:rPr>
          <w:rFonts w:cs="Times New Roman"/>
          <w:szCs w:val="24"/>
        </w:rPr>
        <w:t xml:space="preserve"> Sources: Sources were derived from a global database of U–Pb and </w:t>
      </w:r>
      <w:proofErr w:type="spellStart"/>
      <w:r w:rsidR="005F65EF">
        <w:rPr>
          <w:rFonts w:ascii="Times" w:hAnsi="Times"/>
        </w:rPr>
        <w:t>εHf</w:t>
      </w:r>
      <w:r w:rsidR="005F65EF" w:rsidRPr="000B2CA0">
        <w:rPr>
          <w:rFonts w:ascii="Times" w:hAnsi="Times"/>
          <w:vertAlign w:val="subscript"/>
        </w:rPr>
        <w:t>T</w:t>
      </w:r>
      <w:proofErr w:type="spellEnd"/>
      <w:r w:rsidR="005F65EF">
        <w:rPr>
          <w:rFonts w:ascii="Times" w:hAnsi="Times"/>
          <w:vertAlign w:val="subscript"/>
        </w:rPr>
        <w:t xml:space="preserve"> </w:t>
      </w:r>
      <w:r w:rsidR="005F65EF">
        <w:rPr>
          <w:rFonts w:ascii="Times" w:hAnsi="Times"/>
        </w:rPr>
        <w:t xml:space="preserve">data from detrital zircons </w:t>
      </w:r>
      <w:r w:rsidR="005F65EF">
        <w:rPr>
          <w:rFonts w:ascii="Times" w:hAnsi="Times"/>
        </w:rPr>
        <w:fldChar w:fldCharType="begin"/>
      </w:r>
      <w:r w:rsidR="005F65EF">
        <w:rPr>
          <w:rFonts w:ascii="Times" w:hAnsi="Times"/>
        </w:rPr>
        <w:instrText xml:space="preserve"> ADDIN EN.CITE &lt;EndNote&gt;&lt;Cite&gt;&lt;Author&gt;Puetz&lt;/Author&gt;&lt;Year&gt;2019&lt;/Year&gt;&lt;RecNum&gt;4194&lt;/RecNum&gt;&lt;DisplayText&gt;(Puetz and Condie, 2019)&lt;/DisplayText&gt;&lt;record&gt;&lt;rec-number&gt;4194&lt;/rec-number&gt;&lt;foreign-keys&gt;&lt;key app="EN" db-id="0e0e0xzr0atapyev9x15x52wxaddsdwsfest" timestamp="1595532399"&gt;4194&lt;/key&gt;&lt;/foreign-keys&gt;&lt;ref-type name="Journal Article"&gt;17&lt;/ref-type&gt;&lt;contributors&gt;&lt;authors&gt;&lt;author&gt;Puetz, Stephen J&lt;/author&gt;&lt;author&gt;Condie, Kent C&lt;/author&gt;&lt;/authors&gt;&lt;/contributors&gt;&lt;titles&gt;&lt;title&gt;Time series analysis of mantle cycles Part I: Periodicities and correlations among seven global isotopic databases&lt;/title&gt;&lt;secondary-title&gt;Geoscience Frontiers&lt;/secondary-title&gt;&lt;/titles&gt;&lt;pages&gt;1305-1326&lt;/pages&gt;&lt;volume&gt;10&lt;/volume&gt;&lt;number&gt;4&lt;/number&gt;&lt;dates&gt;&lt;year&gt;2019&lt;/year&gt;&lt;/dates&gt;&lt;isbn&gt;1674-9871&lt;/isbn&gt;&lt;urls&gt;&lt;/urls&gt;&lt;/record&gt;&lt;/Cite&gt;&lt;/EndNote&gt;</w:instrText>
      </w:r>
      <w:r w:rsidR="005F65EF">
        <w:rPr>
          <w:rFonts w:ascii="Times" w:hAnsi="Times"/>
        </w:rPr>
        <w:fldChar w:fldCharType="separate"/>
      </w:r>
      <w:r w:rsidR="005F65EF">
        <w:rPr>
          <w:rFonts w:ascii="Times" w:hAnsi="Times"/>
          <w:noProof/>
        </w:rPr>
        <w:t>(Puetz and Condie, 2019)</w:t>
      </w:r>
      <w:r w:rsidR="005F65EF">
        <w:rPr>
          <w:rFonts w:ascii="Times" w:hAnsi="Times"/>
        </w:rPr>
        <w:fldChar w:fldCharType="end"/>
      </w:r>
      <w:r w:rsidR="005F65EF">
        <w:rPr>
          <w:rFonts w:ascii="Times" w:hAnsi="Times"/>
        </w:rPr>
        <w:t xml:space="preserve">. </w:t>
      </w:r>
      <w:proofErr w:type="spellStart"/>
      <w:r w:rsidR="005F65EF">
        <w:rPr>
          <w:rFonts w:ascii="Times" w:hAnsi="Times"/>
        </w:rPr>
        <w:t>Sundell</w:t>
      </w:r>
      <w:proofErr w:type="spellEnd"/>
      <w:r w:rsidR="005F65EF">
        <w:rPr>
          <w:rFonts w:ascii="Times" w:hAnsi="Times"/>
        </w:rPr>
        <w:t xml:space="preserve"> and Macdonald </w:t>
      </w:r>
      <w:r w:rsidR="005F65EF">
        <w:rPr>
          <w:rFonts w:ascii="Times" w:hAnsi="Times"/>
        </w:rPr>
        <w:fldChar w:fldCharType="begin"/>
      </w:r>
      <w:r w:rsidR="005F65EF">
        <w:rPr>
          <w:rFonts w:ascii="Times" w:hAnsi="Times"/>
        </w:rPr>
        <w:instrText xml:space="preserve"> ADDIN EN.CITE &lt;EndNote&gt;&lt;Cite ExcludeAuth="1"&gt;&lt;Author&gt;Sundell&lt;/Author&gt;&lt;Year&gt;in review&lt;/Year&gt;&lt;RecNum&gt;4193&lt;/RecNum&gt;&lt;IDText&gt;sundell&lt;/IDText&gt;&lt;DisplayText&gt;(in review)&lt;/DisplayText&gt;&lt;record&gt;&lt;rec-number&gt;4193&lt;/rec-number&gt;&lt;foreign-keys&gt;&lt;key app="EN" db-id="0e0e0xzr0atapyev9x15x52wxaddsdwsfest" timestamp="1595475061"&gt;4193&lt;/key&gt;&lt;/foreign-keys&gt;&lt;ref-type name="Journal Article"&gt;17&lt;/ref-type&gt;&lt;contributors&gt;&lt;authors&gt;&lt;author&gt;Sundell, K. E.&lt;/author&gt;&lt;author&gt;Macdonald, F.A.&lt;/author&gt;&lt;/authors&gt;&lt;/contributors&gt;&lt;titles&gt;&lt;title&gt;Crustal recycling though supercontinent cycles&lt;/title&gt;&lt;secondary-title&gt;Science Advances&lt;/secondary-title&gt;&lt;/titles&gt;&lt;dates&gt;&lt;year&gt;in review&lt;/year&gt;&lt;/dates&gt;&lt;urls&gt;&lt;/urls&gt;&lt;/record&gt;&lt;/Cite&gt;&lt;/EndNote&gt;</w:instrText>
      </w:r>
      <w:r w:rsidR="005F65EF">
        <w:rPr>
          <w:rFonts w:ascii="Times" w:hAnsi="Times"/>
        </w:rPr>
        <w:fldChar w:fldCharType="separate"/>
      </w:r>
      <w:r w:rsidR="005F65EF">
        <w:rPr>
          <w:rFonts w:ascii="Times" w:hAnsi="Times"/>
          <w:noProof/>
        </w:rPr>
        <w:t>(in review)</w:t>
      </w:r>
      <w:r w:rsidR="005F65EF">
        <w:rPr>
          <w:rFonts w:ascii="Times" w:hAnsi="Times"/>
        </w:rPr>
        <w:fldChar w:fldCharType="end"/>
      </w:r>
      <w:r w:rsidR="005F65EF">
        <w:rPr>
          <w:rFonts w:ascii="Times" w:hAnsi="Times"/>
        </w:rPr>
        <w:t xml:space="preserve"> grouped the samples in the database by landmass following the suture boundaries identified by </w:t>
      </w:r>
      <w:proofErr w:type="spellStart"/>
      <w:r w:rsidR="005F65EF">
        <w:rPr>
          <w:rFonts w:ascii="Times" w:hAnsi="Times"/>
        </w:rPr>
        <w:t>Domeier</w:t>
      </w:r>
      <w:proofErr w:type="spellEnd"/>
      <w:r w:rsidR="005F65EF">
        <w:rPr>
          <w:rFonts w:ascii="Times" w:hAnsi="Times"/>
        </w:rPr>
        <w:t xml:space="preserve"> and </w:t>
      </w:r>
      <w:proofErr w:type="spellStart"/>
      <w:r w:rsidR="005F65EF">
        <w:rPr>
          <w:rFonts w:ascii="Times" w:hAnsi="Times"/>
        </w:rPr>
        <w:t>Torsvik</w:t>
      </w:r>
      <w:proofErr w:type="spellEnd"/>
      <w:r w:rsidR="005F65EF">
        <w:rPr>
          <w:rFonts w:ascii="Times" w:hAnsi="Times"/>
        </w:rPr>
        <w:t xml:space="preserve"> </w:t>
      </w:r>
      <w:r w:rsidR="005F65EF">
        <w:rPr>
          <w:rFonts w:ascii="Times" w:hAnsi="Times"/>
        </w:rPr>
        <w:fldChar w:fldCharType="begin"/>
      </w:r>
      <w:r w:rsidR="005F65EF">
        <w:rPr>
          <w:rFonts w:ascii="Times" w:hAnsi="Times"/>
        </w:rPr>
        <w:instrText xml:space="preserve"> ADDIN EN.CITE &lt;EndNote&gt;&lt;Cite ExcludeAuth="1"&gt;&lt;Author&gt;Domeier&lt;/Author&gt;&lt;Year&gt;2014&lt;/Year&gt;&lt;RecNum&gt;4195&lt;/RecNum&gt;&lt;IDText&gt;torsvik&lt;/IDText&gt;&lt;DisplayText&gt;(2014)&lt;/DisplayText&gt;&lt;record&gt;&lt;rec-number&gt;4195&lt;/rec-number&gt;&lt;foreign-keys&gt;&lt;key app="EN" db-id="0e0e0xzr0atapyev9x15x52wxaddsdwsfest" timestamp="1595532421"&gt;4195&lt;/key&gt;&lt;/foreign-keys&gt;&lt;ref-type name="Journal Article"&gt;17&lt;/ref-type&gt;&lt;contributors&gt;&lt;authors&gt;&lt;author&gt;Domeier, Mathew&lt;/author&gt;&lt;author&gt;Torsvik, Trond H&lt;/author&gt;&lt;/authors&gt;&lt;/contributors&gt;&lt;titles&gt;&lt;title&gt;Plate tectonics in the late Paleozoic&lt;/title&gt;&lt;secondary-title&gt;Geoscience Frontiers&lt;/secondary-title&gt;&lt;/titles&gt;&lt;pages&gt;303-350&lt;/pages&gt;&lt;volume&gt;5&lt;/volume&gt;&lt;number&gt;3&lt;/number&gt;&lt;dates&gt;&lt;year&gt;2014&lt;/year&gt;&lt;/dates&gt;&lt;isbn&gt;1674-9871&lt;/isbn&gt;&lt;urls&gt;&lt;/urls&gt;&lt;/record&gt;&lt;/Cite&gt;&lt;/EndNote&gt;</w:instrText>
      </w:r>
      <w:r w:rsidR="005F65EF">
        <w:rPr>
          <w:rFonts w:ascii="Times" w:hAnsi="Times"/>
        </w:rPr>
        <w:fldChar w:fldCharType="separate"/>
      </w:r>
      <w:r w:rsidR="005F65EF">
        <w:rPr>
          <w:rFonts w:ascii="Times" w:hAnsi="Times"/>
          <w:noProof/>
        </w:rPr>
        <w:t>(2014)</w:t>
      </w:r>
      <w:r w:rsidR="005F65EF">
        <w:rPr>
          <w:rFonts w:ascii="Times" w:hAnsi="Times"/>
        </w:rPr>
        <w:fldChar w:fldCharType="end"/>
      </w:r>
      <w:r w:rsidR="005F65EF">
        <w:rPr>
          <w:rFonts w:ascii="Times" w:hAnsi="Times"/>
        </w:rPr>
        <w:t>. We use data from Africa (n=12,235), Antarctica (n=1,373), and South America (n=7,872)</w:t>
      </w:r>
      <w:r w:rsidR="005F65EF" w:rsidRPr="00187255">
        <w:rPr>
          <w:rFonts w:cs="Times New Roman"/>
          <w:szCs w:val="24"/>
        </w:rPr>
        <w:t xml:space="preserve"> </w:t>
      </w:r>
      <w:r w:rsidR="005F65EF">
        <w:rPr>
          <w:rFonts w:cs="Times New Roman"/>
          <w:szCs w:val="24"/>
        </w:rPr>
        <w:t>(</w:t>
      </w:r>
      <w:r w:rsidR="005F65EF">
        <w:rPr>
          <w:rFonts w:cs="Times New Roman"/>
          <w:b/>
          <w:szCs w:val="24"/>
        </w:rPr>
        <w:t xml:space="preserve">Figure </w:t>
      </w:r>
      <w:r w:rsidR="00372CD7">
        <w:rPr>
          <w:rFonts w:cs="Times New Roman"/>
          <w:b/>
          <w:szCs w:val="24"/>
        </w:rPr>
        <w:t>S1A</w:t>
      </w:r>
      <w:r w:rsidR="005F65EF">
        <w:rPr>
          <w:rFonts w:cs="Times New Roman"/>
          <w:b/>
          <w:szCs w:val="24"/>
        </w:rPr>
        <w:t xml:space="preserve"> and </w:t>
      </w:r>
      <w:r w:rsidR="005F65EF" w:rsidRPr="004F170D">
        <w:rPr>
          <w:rFonts w:cs="Times New Roman"/>
          <w:b/>
          <w:szCs w:val="24"/>
        </w:rPr>
        <w:t>Supplemental Table S1</w:t>
      </w:r>
      <w:r w:rsidR="005F65EF">
        <w:rPr>
          <w:rFonts w:cs="Times New Roman"/>
          <w:szCs w:val="24"/>
        </w:rPr>
        <w:t>)</w:t>
      </w:r>
      <w:r w:rsidR="005F65EF">
        <w:rPr>
          <w:rFonts w:ascii="Times" w:hAnsi="Times"/>
        </w:rPr>
        <w:t>. These 3 sources were mixed into 24 sink samples where all sink samples have 1,373 age</w:t>
      </w:r>
      <w:r w:rsidR="005F65EF">
        <w:rPr>
          <w:rFonts w:cs="Times New Roman"/>
          <w:szCs w:val="24"/>
        </w:rPr>
        <w:t>/</w:t>
      </w:r>
      <w:proofErr w:type="spellStart"/>
      <w:r w:rsidR="005F65EF">
        <w:rPr>
          <w:rFonts w:ascii="Times" w:hAnsi="Times"/>
        </w:rPr>
        <w:t>εHf</w:t>
      </w:r>
      <w:r w:rsidR="005F65EF" w:rsidRPr="000B2CA0">
        <w:rPr>
          <w:rFonts w:ascii="Times" w:hAnsi="Times"/>
          <w:vertAlign w:val="subscript"/>
        </w:rPr>
        <w:t>T</w:t>
      </w:r>
      <w:proofErr w:type="spellEnd"/>
      <w:r w:rsidR="005F65EF">
        <w:rPr>
          <w:rFonts w:cs="Times New Roman"/>
          <w:szCs w:val="24"/>
        </w:rPr>
        <w:t xml:space="preserve"> pairs</w:t>
      </w:r>
      <w:r w:rsidR="00FF4054">
        <w:rPr>
          <w:rFonts w:cs="Times New Roman"/>
          <w:szCs w:val="24"/>
        </w:rPr>
        <w:t xml:space="preserve"> (</w:t>
      </w:r>
      <w:r w:rsidR="00FF4054" w:rsidRPr="004F170D">
        <w:rPr>
          <w:rFonts w:cs="Times New Roman"/>
          <w:b/>
          <w:szCs w:val="24"/>
        </w:rPr>
        <w:t>Supplemental Table S2</w:t>
      </w:r>
      <w:r w:rsidR="00FF4054">
        <w:rPr>
          <w:rFonts w:cs="Times New Roman"/>
          <w:szCs w:val="24"/>
        </w:rPr>
        <w:t>)</w:t>
      </w:r>
      <w:r w:rsidR="005F65EF">
        <w:rPr>
          <w:rFonts w:cs="Times New Roman"/>
          <w:szCs w:val="24"/>
        </w:rPr>
        <w:t>.</w:t>
      </w:r>
    </w:p>
    <w:p w:rsidR="00372CD7" w:rsidRDefault="00372CD7" w:rsidP="00FF4054">
      <w:pPr>
        <w:spacing w:line="480" w:lineRule="auto"/>
        <w:ind w:firstLine="720"/>
        <w:jc w:val="both"/>
        <w:rPr>
          <w:rFonts w:cs="Times New Roman"/>
          <w:szCs w:val="24"/>
        </w:rPr>
      </w:pPr>
      <w:r>
        <w:rPr>
          <w:rFonts w:cs="Times New Roman"/>
          <w:szCs w:val="24"/>
        </w:rPr>
        <w:t>B</w:t>
      </w:r>
      <w:r w:rsidR="005F65EF">
        <w:rPr>
          <w:rFonts w:cs="Times New Roman"/>
          <w:szCs w:val="24"/>
        </w:rPr>
        <w:t>reakpoint analysis of the 24 sink samples mixed from three sources indicates that the optimum rank for factorization is three (</w:t>
      </w:r>
      <w:r w:rsidR="005F65EF">
        <w:rPr>
          <w:rFonts w:cs="Times New Roman"/>
          <w:b/>
          <w:szCs w:val="24"/>
        </w:rPr>
        <w:t xml:space="preserve">Figure </w:t>
      </w:r>
      <w:r>
        <w:rPr>
          <w:rFonts w:cs="Times New Roman"/>
          <w:b/>
          <w:szCs w:val="24"/>
        </w:rPr>
        <w:t>S2</w:t>
      </w:r>
      <w:r w:rsidR="005F65EF">
        <w:rPr>
          <w:rFonts w:cs="Times New Roman"/>
          <w:b/>
          <w:szCs w:val="24"/>
        </w:rPr>
        <w:t>A</w:t>
      </w:r>
      <w:r w:rsidR="005F65EF">
        <w:rPr>
          <w:rFonts w:cs="Times New Roman"/>
          <w:szCs w:val="24"/>
        </w:rPr>
        <w:t>). In contrast, bi-cross validation yields a range of optimum ranks between 3 and 13 for quadrants A–D (</w:t>
      </w:r>
      <w:r w:rsidR="005F65EF">
        <w:rPr>
          <w:rFonts w:cs="Times New Roman"/>
          <w:b/>
          <w:szCs w:val="24"/>
        </w:rPr>
        <w:t xml:space="preserve">Figure </w:t>
      </w:r>
      <w:r>
        <w:rPr>
          <w:rFonts w:cs="Times New Roman"/>
          <w:b/>
          <w:szCs w:val="24"/>
        </w:rPr>
        <w:t>S2</w:t>
      </w:r>
      <w:r w:rsidR="005F65EF">
        <w:rPr>
          <w:rFonts w:cs="Times New Roman"/>
          <w:b/>
          <w:szCs w:val="24"/>
        </w:rPr>
        <w:t>B</w:t>
      </w:r>
      <w:r w:rsidR="005F65EF">
        <w:rPr>
          <w:rFonts w:cs="Times New Roman"/>
          <w:szCs w:val="24"/>
        </w:rPr>
        <w:t xml:space="preserve">). The total residual </w:t>
      </w:r>
      <w:r>
        <w:rPr>
          <w:rFonts w:cs="Times New Roman"/>
          <w:szCs w:val="24"/>
        </w:rPr>
        <w:t xml:space="preserve">from bi-cross-validation </w:t>
      </w:r>
      <w:r w:rsidR="005F65EF">
        <w:rPr>
          <w:rFonts w:cs="Times New Roman"/>
          <w:szCs w:val="24"/>
        </w:rPr>
        <w:t>indicates that the optimum rank is 5 (</w:t>
      </w:r>
      <w:r w:rsidR="005F65EF">
        <w:rPr>
          <w:rFonts w:cs="Times New Roman"/>
          <w:b/>
          <w:szCs w:val="24"/>
        </w:rPr>
        <w:t xml:space="preserve">Figure </w:t>
      </w:r>
      <w:r>
        <w:rPr>
          <w:rFonts w:cs="Times New Roman"/>
          <w:b/>
          <w:szCs w:val="24"/>
        </w:rPr>
        <w:t>S2</w:t>
      </w:r>
      <w:r w:rsidR="005F65EF">
        <w:rPr>
          <w:rFonts w:cs="Times New Roman"/>
          <w:b/>
          <w:szCs w:val="24"/>
        </w:rPr>
        <w:t>C</w:t>
      </w:r>
      <w:r w:rsidR="005F65EF">
        <w:rPr>
          <w:rFonts w:cs="Times New Roman"/>
          <w:szCs w:val="24"/>
        </w:rPr>
        <w:t>).</w:t>
      </w:r>
      <w:r>
        <w:rPr>
          <w:rFonts w:cs="Times New Roman"/>
          <w:szCs w:val="24"/>
        </w:rPr>
        <w:t xml:space="preserve"> Factorization of the 24 sink samples </w:t>
      </w:r>
      <w:r w:rsidR="006F012F">
        <w:rPr>
          <w:rFonts w:cs="Times New Roman"/>
          <w:szCs w:val="24"/>
        </w:rPr>
        <w:t xml:space="preserve">to 3 </w:t>
      </w:r>
      <w:r w:rsidR="00340DEB">
        <w:rPr>
          <w:rFonts w:cs="Times New Roman"/>
          <w:szCs w:val="24"/>
        </w:rPr>
        <w:t>endmembers</w:t>
      </w:r>
      <w:r w:rsidR="006F012F">
        <w:rPr>
          <w:rFonts w:cs="Times New Roman"/>
          <w:szCs w:val="24"/>
        </w:rPr>
        <w:t xml:space="preserve"> yields distributions and weightings that closely match the know</w:t>
      </w:r>
      <w:r w:rsidR="00EC4BDA">
        <w:rPr>
          <w:rFonts w:cs="Times New Roman"/>
          <w:szCs w:val="24"/>
        </w:rPr>
        <w:t>n</w:t>
      </w:r>
      <w:r w:rsidR="006F012F">
        <w:rPr>
          <w:rFonts w:cs="Times New Roman"/>
          <w:szCs w:val="24"/>
        </w:rPr>
        <w:t xml:space="preserve"> distributions and weightings (</w:t>
      </w:r>
      <w:r w:rsidR="006F012F">
        <w:rPr>
          <w:rFonts w:cs="Times New Roman"/>
          <w:b/>
          <w:szCs w:val="24"/>
        </w:rPr>
        <w:t>Figure S1B and S3</w:t>
      </w:r>
      <w:r w:rsidR="006F012F">
        <w:rPr>
          <w:rFonts w:cs="Times New Roman"/>
          <w:szCs w:val="24"/>
        </w:rPr>
        <w:t>).</w:t>
      </w:r>
    </w:p>
    <w:p w:rsidR="008F4D4F" w:rsidRDefault="008F4D4F" w:rsidP="008F4D4F">
      <w:pPr>
        <w:spacing w:line="480" w:lineRule="auto"/>
        <w:jc w:val="left"/>
        <w:rPr>
          <w:rFonts w:cs="Times New Roman"/>
          <w:szCs w:val="24"/>
        </w:rPr>
      </w:pPr>
    </w:p>
    <w:p w:rsidR="008F4D4F" w:rsidRDefault="008F4D4F" w:rsidP="008F4D4F">
      <w:pPr>
        <w:spacing w:line="480" w:lineRule="auto"/>
        <w:jc w:val="left"/>
        <w:rPr>
          <w:rFonts w:cs="Times New Roman"/>
          <w:szCs w:val="24"/>
        </w:rPr>
      </w:pPr>
      <w:r>
        <w:rPr>
          <w:rFonts w:cs="Times New Roman"/>
          <w:szCs w:val="24"/>
        </w:rPr>
        <w:t>Five sources: Sources are based on a compilation of Paleozoic–Proterozoic samples from North America (</w:t>
      </w:r>
      <w:r>
        <w:rPr>
          <w:rFonts w:cs="Times New Roman"/>
          <w:b/>
          <w:szCs w:val="24"/>
        </w:rPr>
        <w:t xml:space="preserve">Figure </w:t>
      </w:r>
      <w:r w:rsidR="00FF4054">
        <w:rPr>
          <w:rFonts w:cs="Times New Roman"/>
          <w:b/>
          <w:szCs w:val="24"/>
        </w:rPr>
        <w:t>S4</w:t>
      </w:r>
      <w:r>
        <w:rPr>
          <w:rFonts w:cs="Times New Roman"/>
          <w:b/>
          <w:szCs w:val="24"/>
        </w:rPr>
        <w:t xml:space="preserve">A and </w:t>
      </w:r>
      <w:r w:rsidRPr="004F170D">
        <w:rPr>
          <w:rFonts w:cs="Times New Roman"/>
          <w:b/>
          <w:szCs w:val="24"/>
        </w:rPr>
        <w:t>Supplemental Table S</w:t>
      </w:r>
      <w:r w:rsidR="00FF4054">
        <w:rPr>
          <w:rFonts w:cs="Times New Roman"/>
          <w:b/>
          <w:szCs w:val="24"/>
        </w:rPr>
        <w:t>4</w:t>
      </w:r>
      <w:r w:rsidRPr="004F170D">
        <w:rPr>
          <w:rFonts w:cs="Times New Roman"/>
          <w:b/>
          <w:szCs w:val="24"/>
        </w:rPr>
        <w:t xml:space="preserve"> and S</w:t>
      </w:r>
      <w:r>
        <w:rPr>
          <w:rFonts w:cs="Times New Roman"/>
          <w:b/>
          <w:szCs w:val="24"/>
        </w:rPr>
        <w:t>5</w:t>
      </w:r>
      <w:r>
        <w:rPr>
          <w:rFonts w:cs="Times New Roman"/>
          <w:szCs w:val="24"/>
        </w:rPr>
        <w:t>). Source 1 includes 845 age/</w:t>
      </w:r>
      <w:proofErr w:type="spellStart"/>
      <w:r>
        <w:rPr>
          <w:rFonts w:ascii="Times" w:hAnsi="Times"/>
        </w:rPr>
        <w:t>εHf</w:t>
      </w:r>
      <w:r w:rsidRPr="000B2CA0">
        <w:rPr>
          <w:rFonts w:ascii="Times" w:hAnsi="Times"/>
          <w:vertAlign w:val="subscript"/>
        </w:rPr>
        <w:t>T</w:t>
      </w:r>
      <w:proofErr w:type="spellEnd"/>
      <w:r>
        <w:rPr>
          <w:rFonts w:cs="Times New Roman"/>
          <w:szCs w:val="24"/>
        </w:rPr>
        <w:t xml:space="preserve"> pairs from Proterozoic–Cambrian basement and cover sequences from the Mojave desert in California and Nevada </w:t>
      </w:r>
      <w:r>
        <w:rPr>
          <w:rFonts w:cs="Times New Roman"/>
          <w:szCs w:val="24"/>
        </w:rPr>
        <w:fldChar w:fldCharType="begin"/>
      </w:r>
      <w:r>
        <w:rPr>
          <w:rFonts w:cs="Times New Roman"/>
          <w:szCs w:val="24"/>
        </w:rPr>
        <w:instrText xml:space="preserve"> ADDIN EN.CITE &lt;EndNote&gt;&lt;Cite&gt;&lt;Author&gt;Wooden&lt;/Author&gt;&lt;Year&gt;2013&lt;/Year&gt;&lt;RecNum&gt;4189&lt;/RecNum&gt;&lt;DisplayText&gt;(Wooden et al., 2013)&lt;/DisplayText&gt;&lt;record&gt;&lt;rec-number&gt;4189&lt;/rec-number&gt;&lt;foreign-keys&gt;&lt;key app="EN" db-id="0e0e0xzr0atapyev9x15x52wxaddsdwsfest" timestamp="1595434442"&gt;4189&lt;/key&gt;&lt;/foreign-keys&gt;&lt;ref-type name="Journal Article"&gt;17&lt;/ref-type&gt;&lt;contributors&gt;&lt;authors&gt;&lt;author&gt;Wooden, J.L.&lt;/author&gt;&lt;author&gt;Barth, A.P.&lt;/author&gt;&lt;author&gt;Mueller, P.A.&lt;/author&gt;&lt;/authors&gt;&lt;/contributors&gt;&lt;titles&gt;&lt;title&gt;Crustal growth and tectonic evolution of the Mojave crustal province: Insights from hafnium isotope systematics in zircons&lt;/title&gt;&lt;secondary-title&gt;Lithosphere&lt;/secondary-title&gt;&lt;/titles&gt;&lt;pages&gt;17-28&lt;/pages&gt;&lt;volume&gt;5&lt;/volume&gt;&lt;number&gt;1&lt;/number&gt;&lt;dates&gt;&lt;year&gt;2013&lt;/year&gt;&lt;/dates&gt;&lt;isbn&gt;1941-8264&lt;/isbn&gt;&lt;urls&gt;&lt;related-urls&gt;&lt;url&gt;https://doi.org/10.1130/L218.1&lt;/url&gt;&lt;/related-urls&gt;&lt;/urls&gt;&lt;electronic-resource-num&gt;10.1130/l218.1&lt;/electronic-resource-num&gt;&lt;access-date&gt;7/22/2020&lt;/access-date&gt;&lt;/record&gt;&lt;/Cite&gt;&lt;/EndNote&gt;</w:instrText>
      </w:r>
      <w:r>
        <w:rPr>
          <w:rFonts w:cs="Times New Roman"/>
          <w:szCs w:val="24"/>
        </w:rPr>
        <w:fldChar w:fldCharType="separate"/>
      </w:r>
      <w:r>
        <w:rPr>
          <w:rFonts w:cs="Times New Roman"/>
          <w:noProof/>
          <w:szCs w:val="24"/>
        </w:rPr>
        <w:t>(Wooden et al., 2013)</w:t>
      </w:r>
      <w:r>
        <w:rPr>
          <w:rFonts w:cs="Times New Roman"/>
          <w:szCs w:val="24"/>
        </w:rPr>
        <w:fldChar w:fldCharType="end"/>
      </w:r>
      <w:r>
        <w:rPr>
          <w:rFonts w:cs="Times New Roman"/>
          <w:szCs w:val="24"/>
        </w:rPr>
        <w:t>. Source 2 comprises 371 age/</w:t>
      </w:r>
      <w:proofErr w:type="spellStart"/>
      <w:r>
        <w:rPr>
          <w:rFonts w:ascii="Times" w:hAnsi="Times"/>
        </w:rPr>
        <w:t>εHf</w:t>
      </w:r>
      <w:r w:rsidRPr="000B2CA0">
        <w:rPr>
          <w:rFonts w:ascii="Times" w:hAnsi="Times"/>
          <w:vertAlign w:val="subscript"/>
        </w:rPr>
        <w:t>T</w:t>
      </w:r>
      <w:proofErr w:type="spellEnd"/>
      <w:r>
        <w:rPr>
          <w:rFonts w:cs="Times New Roman"/>
          <w:szCs w:val="24"/>
        </w:rPr>
        <w:t xml:space="preserve"> pairs from </w:t>
      </w:r>
      <w:r>
        <w:rPr>
          <w:rFonts w:cs="Times New Roman"/>
          <w:szCs w:val="24"/>
        </w:rPr>
        <w:lastRenderedPageBreak/>
        <w:t xml:space="preserve">Mississippian–Permian samples from the Appalachian foreland </w:t>
      </w:r>
      <w:r>
        <w:rPr>
          <w:rFonts w:cs="Times New Roman"/>
          <w:szCs w:val="24"/>
        </w:rPr>
        <w:fldChar w:fldCharType="begin"/>
      </w:r>
      <w:r>
        <w:rPr>
          <w:rFonts w:cs="Times New Roman"/>
          <w:szCs w:val="24"/>
        </w:rPr>
        <w:instrText xml:space="preserve"> ADDIN EN.CITE &lt;EndNote&gt;&lt;Cite&gt;&lt;Author&gt;Thomas&lt;/Author&gt;&lt;Year&gt;2017&lt;/Year&gt;&lt;RecNum&gt;4117&lt;/RecNum&gt;&lt;DisplayText&gt;(Thomas et al., 2017)&lt;/DisplayText&gt;&lt;record&gt;&lt;rec-number&gt;4117&lt;/rec-number&gt;&lt;foreign-keys&gt;&lt;key app="EN" db-id="0e0e0xzr0atapyev9x15x52wxaddsdwsfest" timestamp="1589386590"&gt;4117&lt;/key&gt;&lt;/foreign-keys&gt;&lt;ref-type name="Journal Article"&gt;17&lt;/ref-type&gt;&lt;contributors&gt;&lt;authors&gt;&lt;author&gt;Thomas, William A&lt;/author&gt;&lt;author&gt;Gehrels, George E&lt;/author&gt;&lt;author&gt;Greb, Stephen F&lt;/author&gt;&lt;author&gt;Nadon, Gregory C&lt;/author&gt;&lt;author&gt;Satkoski, Aaron M&lt;/author&gt;&lt;author&gt;Romero, Mariah C&lt;/author&gt;&lt;/authors&gt;&lt;/contributors&gt;&lt;titles&gt;&lt;title&gt;Detrital zircons and sediment dispersal in the Appalachian foreland&lt;/title&gt;&lt;secondary-title&gt;Geosphere&lt;/secondary-title&gt;&lt;/titles&gt;&lt;periodical&gt;&lt;full-title&gt;Geosphere&lt;/full-title&gt;&lt;abbr-1&gt;Geosphere&lt;/abbr-1&gt;&lt;abbr-2&gt;Geosphere&lt;/abbr-2&gt;&lt;/periodical&gt;&lt;pages&gt;2206-2230&lt;/pages&gt;&lt;volume&gt;13&lt;/volume&gt;&lt;number&gt;6&lt;/number&gt;&lt;dates&gt;&lt;year&gt;2017&lt;/year&gt;&lt;/dates&gt;&lt;urls&gt;&lt;/urls&gt;&lt;/record&gt;&lt;/Cite&gt;&lt;/EndNote&gt;</w:instrText>
      </w:r>
      <w:r>
        <w:rPr>
          <w:rFonts w:cs="Times New Roman"/>
          <w:szCs w:val="24"/>
        </w:rPr>
        <w:fldChar w:fldCharType="separate"/>
      </w:r>
      <w:r>
        <w:rPr>
          <w:rFonts w:cs="Times New Roman"/>
          <w:noProof/>
          <w:szCs w:val="24"/>
        </w:rPr>
        <w:t>(Thomas et al., 2017)</w:t>
      </w:r>
      <w:r>
        <w:rPr>
          <w:rFonts w:cs="Times New Roman"/>
          <w:szCs w:val="24"/>
        </w:rPr>
        <w:fldChar w:fldCharType="end"/>
      </w:r>
      <w:r>
        <w:rPr>
          <w:rFonts w:cs="Times New Roman"/>
          <w:szCs w:val="24"/>
        </w:rPr>
        <w:t xml:space="preserve"> and detritus recycled from the southern Appalachian Orogen into Pleistocene beach ridge sands in Florida </w:t>
      </w:r>
      <w:r>
        <w:rPr>
          <w:rFonts w:cs="Times New Roman"/>
          <w:szCs w:val="24"/>
        </w:rPr>
        <w:fldChar w:fldCharType="begin"/>
      </w:r>
      <w:r>
        <w:rPr>
          <w:rFonts w:cs="Times New Roman"/>
          <w:szCs w:val="24"/>
        </w:rPr>
        <w:instrText xml:space="preserve"> ADDIN EN.CITE &lt;EndNote&gt;&lt;Cite&gt;&lt;Author&gt;Mueller&lt;/Author&gt;&lt;Year&gt;2008&lt;/Year&gt;&lt;RecNum&gt;4116&lt;/RecNum&gt;&lt;DisplayText&gt;(Mueller et al., 2008)&lt;/DisplayText&gt;&lt;record&gt;&lt;rec-number&gt;4116&lt;/rec-number&gt;&lt;foreign-keys&gt;&lt;key app="EN" db-id="0e0e0xzr0atapyev9x15x52wxaddsdwsfest" timestamp="1589386488"&gt;4116&lt;/key&gt;&lt;/foreign-keys&gt;&lt;ref-type name="Journal Article"&gt;17&lt;/ref-type&gt;&lt;contributors&gt;&lt;authors&gt;&lt;author&gt;Mueller, Paul A&lt;/author&gt;&lt;author&gt;Kamenov, George D&lt;/author&gt;&lt;author&gt;Heatherington, Ann L&lt;/author&gt;&lt;author&gt;Richards, Joshua&lt;/author&gt;&lt;/authors&gt;&lt;/contributors&gt;&lt;titles&gt;&lt;title&gt;Crustal evolution in the southern Appalachian orogen: Evidence from Hf isotopes in detrital zircons&lt;/title&gt;&lt;secondary-title&gt;The Journal of Geology&lt;/secondary-title&gt;&lt;/titles&gt;&lt;pages&gt;414-422&lt;/pages&gt;&lt;volume&gt;116&lt;/volume&gt;&lt;number&gt;4&lt;/number&gt;&lt;dates&gt;&lt;year&gt;2008&lt;/year&gt;&lt;/dates&gt;&lt;isbn&gt;0022-1376&lt;/isbn&gt;&lt;urls&gt;&lt;/urls&gt;&lt;/record&gt;&lt;/Cite&gt;&lt;/EndNote&gt;</w:instrText>
      </w:r>
      <w:r>
        <w:rPr>
          <w:rFonts w:cs="Times New Roman"/>
          <w:szCs w:val="24"/>
        </w:rPr>
        <w:fldChar w:fldCharType="separate"/>
      </w:r>
      <w:r>
        <w:rPr>
          <w:rFonts w:cs="Times New Roman"/>
          <w:noProof/>
          <w:szCs w:val="24"/>
        </w:rPr>
        <w:t>(Mueller et al., 2008)</w:t>
      </w:r>
      <w:r>
        <w:rPr>
          <w:rFonts w:cs="Times New Roman"/>
          <w:szCs w:val="24"/>
        </w:rPr>
        <w:fldChar w:fldCharType="end"/>
      </w:r>
      <w:r>
        <w:rPr>
          <w:rFonts w:cs="Times New Roman"/>
          <w:szCs w:val="24"/>
        </w:rPr>
        <w:t>. Source 3 is an amalgamation of 95 age/</w:t>
      </w:r>
      <w:proofErr w:type="spellStart"/>
      <w:r>
        <w:rPr>
          <w:rFonts w:ascii="Times" w:hAnsi="Times"/>
        </w:rPr>
        <w:t>εHf</w:t>
      </w:r>
      <w:r w:rsidRPr="000B2CA0">
        <w:rPr>
          <w:rFonts w:ascii="Times" w:hAnsi="Times"/>
          <w:vertAlign w:val="subscript"/>
        </w:rPr>
        <w:t>T</w:t>
      </w:r>
      <w:proofErr w:type="spellEnd"/>
      <w:r>
        <w:rPr>
          <w:rFonts w:cs="Times New Roman"/>
          <w:szCs w:val="24"/>
        </w:rPr>
        <w:t xml:space="preserve"> pairs from the Neoproterozoic Caddy and Mutual quartzites exposed in Utah </w:t>
      </w:r>
      <w:r>
        <w:rPr>
          <w:rFonts w:cs="Times New Roman"/>
          <w:szCs w:val="24"/>
        </w:rPr>
        <w:fldChar w:fldCharType="begin"/>
      </w:r>
      <w:r>
        <w:rPr>
          <w:rFonts w:cs="Times New Roman"/>
          <w:szCs w:val="24"/>
        </w:rPr>
        <w:instrText xml:space="preserve"> ADDIN EN.CITE &lt;EndNote&gt;&lt;Cite&gt;&lt;Author&gt;Gehrels&lt;/Author&gt;&lt;Year&gt;2014&lt;/Year&gt;&lt;RecNum&gt;3263&lt;/RecNum&gt;&lt;DisplayText&gt;(Gehrels and Pecha, 2014)&lt;/DisplayText&gt;&lt;record&gt;&lt;rec-number&gt;3263&lt;/rec-number&gt;&lt;foreign-keys&gt;&lt;key app="EN" db-id="0e0e0xzr0atapyev9x15x52wxaddsdwsfest" timestamp="0"&gt;3263&lt;/key&gt;&lt;/foreign-keys&gt;&lt;ref-type name="Journal Article"&gt;17&lt;/ref-type&gt;&lt;contributors&gt;&lt;authors&gt;&lt;author&gt;Gehrels, George&lt;/author&gt;&lt;author&gt;Pecha, Mark&lt;/author&gt;&lt;/authors&gt;&lt;/contributors&gt;&lt;titles&gt;&lt;title&gt;Detrital zircon U-Pb geochronology and Hf isotope geochemistry of Paleozoic and Triassic passive margin strata of western North America&lt;/title&gt;&lt;secondary-title&gt;Geosphere&lt;/secondary-title&gt;&lt;/titles&gt;&lt;periodical&gt;&lt;full-title&gt;Geosphere&lt;/full-title&gt;&lt;abbr-1&gt;Geosphere&lt;/abbr-1&gt;&lt;abbr-2&gt;Geosphere&lt;/abbr-2&gt;&lt;/periodical&gt;&lt;pages&gt;49–65&lt;/pages&gt;&lt;volume&gt;10&lt;/volume&gt;&lt;number&gt;1&lt;/number&gt;&lt;dates&gt;&lt;year&gt;2014&lt;/year&gt;&lt;/dates&gt;&lt;urls&gt;&lt;/urls&gt;&lt;electronic-resource-num&gt;10.1130/ges00889.1&lt;/electronic-resource-num&gt;&lt;/record&gt;&lt;/Cite&gt;&lt;/EndNote&gt;</w:instrText>
      </w:r>
      <w:r>
        <w:rPr>
          <w:rFonts w:cs="Times New Roman"/>
          <w:szCs w:val="24"/>
        </w:rPr>
        <w:fldChar w:fldCharType="separate"/>
      </w:r>
      <w:r>
        <w:rPr>
          <w:rFonts w:cs="Times New Roman"/>
          <w:noProof/>
          <w:szCs w:val="24"/>
        </w:rPr>
        <w:t>(Gehrels and Pecha, 2014)</w:t>
      </w:r>
      <w:r>
        <w:rPr>
          <w:rFonts w:cs="Times New Roman"/>
          <w:szCs w:val="24"/>
        </w:rPr>
        <w:fldChar w:fldCharType="end"/>
      </w:r>
      <w:r>
        <w:rPr>
          <w:rFonts w:cs="Times New Roman"/>
          <w:szCs w:val="24"/>
        </w:rPr>
        <w:t>. Source 4 is composed of 91 age/</w:t>
      </w:r>
      <w:proofErr w:type="spellStart"/>
      <w:r>
        <w:rPr>
          <w:rFonts w:ascii="Times" w:hAnsi="Times"/>
        </w:rPr>
        <w:t>εHf</w:t>
      </w:r>
      <w:r w:rsidRPr="000B2CA0">
        <w:rPr>
          <w:rFonts w:ascii="Times" w:hAnsi="Times"/>
          <w:vertAlign w:val="subscript"/>
        </w:rPr>
        <w:t>T</w:t>
      </w:r>
      <w:proofErr w:type="spellEnd"/>
      <w:r>
        <w:rPr>
          <w:rFonts w:cs="Times New Roman"/>
          <w:szCs w:val="24"/>
        </w:rPr>
        <w:t xml:space="preserve"> pairs from Mesoproterozoic strata of the upper Belt Supergroup of Idaho and western Montana </w:t>
      </w:r>
      <w:r>
        <w:rPr>
          <w:rFonts w:cs="Times New Roman"/>
          <w:szCs w:val="24"/>
        </w:rPr>
        <w:fldChar w:fldCharType="begin"/>
      </w:r>
      <w:r>
        <w:rPr>
          <w:rFonts w:cs="Times New Roman"/>
          <w:szCs w:val="24"/>
        </w:rPr>
        <w:instrText xml:space="preserve"> ADDIN EN.CITE &lt;EndNote&gt;&lt;Cite&gt;&lt;Author&gt;Stewart&lt;/Author&gt;&lt;Year&gt;2010&lt;/Year&gt;&lt;RecNum&gt;3751&lt;/RecNum&gt;&lt;DisplayText&gt;(Stewart et al., 2010)&lt;/DisplayText&gt;&lt;record&gt;&lt;rec-number&gt;3751&lt;/rec-number&gt;&lt;foreign-keys&gt;&lt;key app="EN" db-id="0e0e0xzr0atapyev9x15x52wxaddsdwsfest" timestamp="0"&gt;3751&lt;/key&gt;&lt;/foreign-keys&gt;&lt;ref-type name="Journal Article"&gt;17&lt;/ref-type&gt;&lt;contributors&gt;&lt;authors&gt;&lt;author&gt;Stewart, Eric D.&lt;/author&gt;&lt;author&gt;Link, Paul K.&lt;/author&gt;&lt;author&gt;Fanning, C. Mark&lt;/author&gt;&lt;author&gt;Frost, Carol D.&lt;/author&gt;&lt;author&gt;McCurry, Michael&lt;/author&gt;&lt;/authors&gt;&lt;/contributors&gt;&lt;titles&gt;&lt;title&gt;Paleogeographic implications of non–North American sediment in the Mesoproterozoic upper Belt Supergroup and Lemhi Group, Idaho and Montana, USA&lt;/title&gt;&lt;secondary-title&gt;Geology&lt;/secondary-title&gt;&lt;/titles&gt;&lt;periodical&gt;&lt;full-title&gt;Geology&lt;/full-title&gt;&lt;abbr-1&gt;Geology&lt;/abbr-1&gt;&lt;abbr-2&gt;Geology&lt;/abbr-2&gt;&lt;/periodical&gt;&lt;pages&gt;927–930&lt;/pages&gt;&lt;volume&gt;38&lt;/volume&gt;&lt;number&gt;10&lt;/number&gt;&lt;dates&gt;&lt;year&gt;2010&lt;/year&gt;&lt;/dates&gt;&lt;isbn&gt;0091-7613&lt;/isbn&gt;&lt;urls&gt;&lt;related-urls&gt;&lt;url&gt;http://dx.doi.org/10.1130/G31194.1&lt;/url&gt;&lt;/related-urls&gt;&lt;/urls&gt;&lt;electronic-resource-num&gt;10.1130/G31194.1&lt;/electronic-resource-num&gt;&lt;/record&gt;&lt;/Cite&gt;&lt;/EndNote&gt;</w:instrText>
      </w:r>
      <w:r>
        <w:rPr>
          <w:rFonts w:cs="Times New Roman"/>
          <w:szCs w:val="24"/>
        </w:rPr>
        <w:fldChar w:fldCharType="separate"/>
      </w:r>
      <w:r>
        <w:rPr>
          <w:rFonts w:cs="Times New Roman"/>
          <w:noProof/>
          <w:szCs w:val="24"/>
        </w:rPr>
        <w:t>(Stewart et al., 2010)</w:t>
      </w:r>
      <w:r>
        <w:rPr>
          <w:rFonts w:cs="Times New Roman"/>
          <w:szCs w:val="24"/>
        </w:rPr>
        <w:fldChar w:fldCharType="end"/>
      </w:r>
      <w:r>
        <w:rPr>
          <w:rFonts w:cs="Times New Roman"/>
          <w:szCs w:val="24"/>
        </w:rPr>
        <w:t>. Finally, Source 5 is a combination of 334 age/</w:t>
      </w:r>
      <w:proofErr w:type="spellStart"/>
      <w:r>
        <w:rPr>
          <w:rFonts w:ascii="Times" w:hAnsi="Times"/>
        </w:rPr>
        <w:t>εHf</w:t>
      </w:r>
      <w:r w:rsidRPr="000B2CA0">
        <w:rPr>
          <w:rFonts w:ascii="Times" w:hAnsi="Times"/>
          <w:vertAlign w:val="subscript"/>
        </w:rPr>
        <w:t>T</w:t>
      </w:r>
      <w:proofErr w:type="spellEnd"/>
      <w:r>
        <w:rPr>
          <w:rFonts w:cs="Times New Roman"/>
          <w:szCs w:val="24"/>
        </w:rPr>
        <w:t xml:space="preserve"> pairs from upper</w:t>
      </w:r>
      <w:r w:rsidRPr="00FA010B">
        <w:rPr>
          <w:rFonts w:cs="Times New Roman"/>
          <w:szCs w:val="24"/>
        </w:rPr>
        <w:t xml:space="preserve"> Neoproterozoic</w:t>
      </w:r>
      <w:r>
        <w:rPr>
          <w:rFonts w:cs="Times New Roman"/>
          <w:szCs w:val="24"/>
        </w:rPr>
        <w:t xml:space="preserve"> and </w:t>
      </w:r>
      <w:r w:rsidRPr="00FA010B">
        <w:rPr>
          <w:rFonts w:cs="Times New Roman"/>
          <w:szCs w:val="24"/>
        </w:rPr>
        <w:t xml:space="preserve">Paleozoic </w:t>
      </w:r>
      <w:r>
        <w:rPr>
          <w:rFonts w:cs="Times New Roman"/>
          <w:szCs w:val="24"/>
        </w:rPr>
        <w:t>strata from</w:t>
      </w:r>
      <w:r w:rsidRPr="00FA010B">
        <w:rPr>
          <w:rFonts w:cs="Times New Roman"/>
          <w:szCs w:val="24"/>
        </w:rPr>
        <w:t xml:space="preserve"> Newfoundland</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&lt;EndNote&gt;&lt;Cite&gt;&lt;Author&gt;Pollock&lt;/Author&gt;&lt;Year&gt;2015&lt;/Year&gt;&lt;RecNum&gt;4190&lt;/RecNum&gt;&lt;DisplayText&gt;(Pollock et al., 2015)&lt;/DisplayText&gt;&lt;record&gt;&lt;rec-number&gt;4190&lt;/rec-number&gt;&lt;foreign-keys&gt;&lt;key app="EN" db-id="0e0e0xzr0atapyev9x15x52wxaddsdwsfest" timestamp="1595438428"&gt;4190&lt;/key&gt;&lt;/foreign-keys&gt;&lt;ref-type name="Journal Article"&gt;17&lt;/ref-type&gt;&lt;contributors&gt;&lt;authors&gt;&lt;author&gt;Pollock, J. C.&lt;/author&gt;&lt;author&gt;Sylvester, P. J.&lt;/author&gt;&lt;author&gt;Barr, S. M.&lt;/author&gt;&lt;/authors&gt;&lt;/contributors&gt;&lt;titles&gt;&lt;title&gt;Lu–Hf zircon and Sm–Nd whole-rock isotope constraints on the extent of juvenile arc crust in Avalonia: examples from Newfoundland and Nova Scotia, Canada&lt;/title&gt;&lt;secondary-title&gt;Canadian Journal of Earth Sciences&lt;/secondary-title&gt;&lt;/titles&gt;&lt;periodical&gt;&lt;full-title&gt;Canadian Journal of Earth Sciences&lt;/full-title&gt;&lt;abbr-1&gt;Can. J. Earth Sci.&lt;/abbr-1&gt;&lt;abbr-2&gt;Can J Earth Sci&lt;/abbr-2&gt;&lt;/periodical&gt;&lt;pages&gt;161-181&lt;/pages&gt;&lt;volume&gt;52&lt;/volume&gt;&lt;number&gt;3&lt;/number&gt;&lt;dates&gt;&lt;year&gt;2015&lt;/year&gt;&lt;pub-dates&gt;&lt;date&gt;2015/03/01&lt;/date&gt;&lt;/pub-dates&gt;&lt;/dates&gt;&lt;publisher&gt;NRC Research Press&lt;/publisher&gt;&lt;isbn&gt;0008-4077&lt;/isbn&gt;&lt;urls&gt;&lt;related-urls&gt;&lt;url&gt;https://doi.org/10.1139/cjes-2014-0157&lt;/url&gt;&lt;/related-urls&gt;&lt;/urls&gt;&lt;electronic-resource-num&gt;10.1139/cjes-2014-0157&lt;/electronic-resource-num&gt;&lt;access-date&gt;2020/07/22&lt;/access-date&gt;&lt;/record&gt;&lt;/Cite&gt;&lt;/EndNote&gt;</w:instrText>
      </w:r>
      <w:r>
        <w:rPr>
          <w:rFonts w:cs="Times New Roman"/>
          <w:szCs w:val="24"/>
        </w:rPr>
        <w:fldChar w:fldCharType="separate"/>
      </w:r>
      <w:r>
        <w:rPr>
          <w:rFonts w:cs="Times New Roman"/>
          <w:noProof/>
          <w:szCs w:val="24"/>
        </w:rPr>
        <w:t>(Pollock et al., 2015)</w:t>
      </w:r>
      <w:r>
        <w:rPr>
          <w:rFonts w:cs="Times New Roman"/>
          <w:szCs w:val="24"/>
        </w:rPr>
        <w:fldChar w:fldCharType="end"/>
      </w:r>
      <w:r>
        <w:rPr>
          <w:rFonts w:cs="Times New Roman"/>
          <w:szCs w:val="24"/>
        </w:rPr>
        <w:t>. We mixed these five sources into 40 sinks where all sink samples have 91 age/</w:t>
      </w:r>
      <w:proofErr w:type="spellStart"/>
      <w:r>
        <w:rPr>
          <w:rFonts w:ascii="Times" w:hAnsi="Times"/>
        </w:rPr>
        <w:t>εHf</w:t>
      </w:r>
      <w:r w:rsidRPr="000B2CA0">
        <w:rPr>
          <w:rFonts w:ascii="Times" w:hAnsi="Times"/>
          <w:vertAlign w:val="subscript"/>
        </w:rPr>
        <w:t>T</w:t>
      </w:r>
      <w:proofErr w:type="spellEnd"/>
      <w:r>
        <w:rPr>
          <w:rFonts w:cs="Times New Roman"/>
          <w:szCs w:val="24"/>
        </w:rPr>
        <w:t xml:space="preserve"> pairs.</w:t>
      </w:r>
    </w:p>
    <w:p w:rsidR="00937168" w:rsidRDefault="00937168" w:rsidP="008F4D4F">
      <w:pPr>
        <w:spacing w:line="480" w:lineRule="auto"/>
        <w:jc w:val="left"/>
        <w:rPr>
          <w:rFonts w:cs="Times New Roman"/>
          <w:szCs w:val="24"/>
        </w:rPr>
      </w:pPr>
      <w:r>
        <w:rPr>
          <w:rFonts w:cs="Times New Roman"/>
          <w:szCs w:val="24"/>
        </w:rPr>
        <w:tab/>
        <w:t>Breakpoint analysis of the 40 sink samples mixed from five sources indicates that the optimum rank for factorization is 4, although rank 5 is only slightly worse (</w:t>
      </w:r>
      <w:r>
        <w:rPr>
          <w:rFonts w:cs="Times New Roman"/>
          <w:b/>
          <w:szCs w:val="24"/>
        </w:rPr>
        <w:t xml:space="preserve">Figure </w:t>
      </w:r>
      <w:r w:rsidR="00FF4054">
        <w:rPr>
          <w:rFonts w:cs="Times New Roman"/>
          <w:b/>
          <w:szCs w:val="24"/>
        </w:rPr>
        <w:t>S5</w:t>
      </w:r>
      <w:r>
        <w:rPr>
          <w:rFonts w:cs="Times New Roman"/>
          <w:b/>
          <w:szCs w:val="24"/>
        </w:rPr>
        <w:t>A, Supplemental Table S8</w:t>
      </w:r>
      <w:r>
        <w:rPr>
          <w:rFonts w:cs="Times New Roman"/>
          <w:szCs w:val="24"/>
        </w:rPr>
        <w:t>). Bi-cross validation of this data set yields a range of optimum ranks between 5 and 10 (</w:t>
      </w:r>
      <w:r>
        <w:rPr>
          <w:rFonts w:cs="Times New Roman"/>
          <w:b/>
          <w:szCs w:val="24"/>
        </w:rPr>
        <w:t xml:space="preserve">Figure </w:t>
      </w:r>
      <w:r w:rsidR="00FF4054">
        <w:rPr>
          <w:rFonts w:cs="Times New Roman"/>
          <w:b/>
          <w:szCs w:val="24"/>
        </w:rPr>
        <w:t>S5B</w:t>
      </w:r>
      <w:r>
        <w:rPr>
          <w:rFonts w:cs="Times New Roman"/>
          <w:szCs w:val="24"/>
        </w:rPr>
        <w:t>) for the individual quadrants. The total residual indicates that the optimum rank is 10 (</w:t>
      </w:r>
      <w:r>
        <w:rPr>
          <w:rFonts w:cs="Times New Roman"/>
          <w:b/>
          <w:szCs w:val="24"/>
        </w:rPr>
        <w:t xml:space="preserve">Figure </w:t>
      </w:r>
      <w:r w:rsidR="00FF4054">
        <w:rPr>
          <w:rFonts w:cs="Times New Roman"/>
          <w:b/>
          <w:szCs w:val="24"/>
        </w:rPr>
        <w:t>S5C</w:t>
      </w:r>
      <w:r>
        <w:rPr>
          <w:rFonts w:cs="Times New Roman"/>
          <w:szCs w:val="24"/>
        </w:rPr>
        <w:t>).</w:t>
      </w:r>
    </w:p>
    <w:p w:rsidR="00937168" w:rsidRDefault="00937168" w:rsidP="00937168">
      <w:pPr>
        <w:autoSpaceDE w:val="0"/>
        <w:autoSpaceDN w:val="0"/>
        <w:adjustRightInd w:val="0"/>
        <w:spacing w:line="480" w:lineRule="auto"/>
        <w:jc w:val="both"/>
        <w:rPr>
          <w:rFonts w:cs="Times New Roman"/>
          <w:szCs w:val="24"/>
        </w:rPr>
      </w:pPr>
      <w:r>
        <w:rPr>
          <w:rFonts w:cs="Times New Roman"/>
          <w:szCs w:val="24"/>
        </w:rPr>
        <w:tab/>
        <w:t>Since breakpoint analysis indicates that a rank of either 4 or 5 yields optimum factors (</w:t>
      </w:r>
      <w:r>
        <w:rPr>
          <w:rFonts w:cs="Times New Roman"/>
          <w:b/>
          <w:szCs w:val="24"/>
        </w:rPr>
        <w:t xml:space="preserve">Figure </w:t>
      </w:r>
      <w:r w:rsidR="00FF4054">
        <w:rPr>
          <w:rFonts w:cs="Times New Roman"/>
          <w:b/>
          <w:szCs w:val="24"/>
        </w:rPr>
        <w:t>S5</w:t>
      </w:r>
      <w:r>
        <w:rPr>
          <w:rFonts w:cs="Times New Roman"/>
          <w:b/>
          <w:szCs w:val="24"/>
        </w:rPr>
        <w:t>A</w:t>
      </w:r>
      <w:r>
        <w:rPr>
          <w:rFonts w:cs="Times New Roman"/>
          <w:szCs w:val="24"/>
        </w:rPr>
        <w:t xml:space="preserve">), we factorized the 40 sink samples mixed from 5 sources to both 4 and 5 </w:t>
      </w:r>
      <w:r w:rsidR="00A014C3">
        <w:rPr>
          <w:rFonts w:cs="Times New Roman"/>
          <w:szCs w:val="24"/>
        </w:rPr>
        <w:t>endmembers</w:t>
      </w:r>
      <w:r>
        <w:rPr>
          <w:rFonts w:cs="Times New Roman"/>
          <w:szCs w:val="24"/>
        </w:rPr>
        <w:t xml:space="preserve"> (</w:t>
      </w:r>
      <w:r>
        <w:rPr>
          <w:rFonts w:cs="Times New Roman"/>
          <w:b/>
          <w:szCs w:val="24"/>
        </w:rPr>
        <w:t xml:space="preserve">Figure </w:t>
      </w:r>
      <w:r w:rsidR="00FF4054">
        <w:rPr>
          <w:rFonts w:cs="Times New Roman"/>
          <w:b/>
          <w:szCs w:val="24"/>
        </w:rPr>
        <w:t>S4</w:t>
      </w:r>
      <w:r>
        <w:rPr>
          <w:rFonts w:cs="Times New Roman"/>
          <w:b/>
          <w:szCs w:val="24"/>
        </w:rPr>
        <w:t>B and C</w:t>
      </w:r>
      <w:r>
        <w:rPr>
          <w:rFonts w:cs="Times New Roman"/>
          <w:szCs w:val="24"/>
        </w:rPr>
        <w:t xml:space="preserve">). The </w:t>
      </w:r>
      <w:r w:rsidR="00EC4BDA">
        <w:rPr>
          <w:rFonts w:cs="Times New Roman"/>
          <w:szCs w:val="24"/>
        </w:rPr>
        <w:t>C</w:t>
      </w:r>
      <w:r>
        <w:rPr>
          <w:rFonts w:cs="Times New Roman"/>
          <w:szCs w:val="24"/>
        </w:rPr>
        <w:t xml:space="preserve">ross-correlation coefficient and KS D value indicate close similarity between the known sources to both four or five </w:t>
      </w:r>
      <w:r w:rsidR="00A014C3">
        <w:rPr>
          <w:rFonts w:cs="Times New Roman"/>
          <w:szCs w:val="24"/>
        </w:rPr>
        <w:t>endmembers</w:t>
      </w:r>
      <w:r>
        <w:rPr>
          <w:rFonts w:cs="Times New Roman"/>
          <w:szCs w:val="24"/>
        </w:rPr>
        <w:t xml:space="preserve">. However, there is a slightly better match between the sources factorized for rank five than for rank four (compare </w:t>
      </w:r>
      <w:r>
        <w:rPr>
          <w:rFonts w:cs="Times New Roman"/>
          <w:b/>
          <w:szCs w:val="24"/>
        </w:rPr>
        <w:t xml:space="preserve">Figure </w:t>
      </w:r>
      <w:r w:rsidR="00FF4054">
        <w:rPr>
          <w:rFonts w:cs="Times New Roman"/>
          <w:b/>
          <w:szCs w:val="24"/>
        </w:rPr>
        <w:t>S4</w:t>
      </w:r>
      <w:r>
        <w:rPr>
          <w:rFonts w:cs="Times New Roman"/>
          <w:b/>
          <w:szCs w:val="24"/>
        </w:rPr>
        <w:t>B and C</w:t>
      </w:r>
      <w:r>
        <w:rPr>
          <w:rFonts w:cs="Times New Roman"/>
          <w:szCs w:val="24"/>
        </w:rPr>
        <w:t xml:space="preserve">). The mean </w:t>
      </w:r>
      <w:r w:rsidR="00EC4BDA">
        <w:rPr>
          <w:rFonts w:cs="Times New Roman"/>
          <w:szCs w:val="24"/>
        </w:rPr>
        <w:t>C</w:t>
      </w:r>
      <w:r>
        <w:rPr>
          <w:rFonts w:cs="Times New Roman"/>
          <w:szCs w:val="24"/>
        </w:rPr>
        <w:t>ross</w:t>
      </w:r>
      <w:r w:rsidR="00EC4BDA">
        <w:rPr>
          <w:rFonts w:cs="Times New Roman"/>
          <w:szCs w:val="24"/>
        </w:rPr>
        <w:t>-</w:t>
      </w:r>
      <w:r>
        <w:rPr>
          <w:rFonts w:cs="Times New Roman"/>
          <w:szCs w:val="24"/>
        </w:rPr>
        <w:t xml:space="preserve">correlation coefficient between factorized </w:t>
      </w:r>
      <w:r w:rsidR="00A014C3">
        <w:rPr>
          <w:rFonts w:cs="Times New Roman"/>
          <w:szCs w:val="24"/>
        </w:rPr>
        <w:t>endmembers</w:t>
      </w:r>
      <w:r>
        <w:rPr>
          <w:rFonts w:cs="Times New Roman"/>
          <w:szCs w:val="24"/>
        </w:rPr>
        <w:t xml:space="preserve"> for rank five and the known sources is 0.98. In comparison the mean </w:t>
      </w:r>
      <w:r w:rsidR="00EC4BDA">
        <w:rPr>
          <w:rFonts w:cs="Times New Roman"/>
          <w:szCs w:val="24"/>
        </w:rPr>
        <w:t>C</w:t>
      </w:r>
      <w:r>
        <w:rPr>
          <w:rFonts w:cs="Times New Roman"/>
          <w:szCs w:val="24"/>
        </w:rPr>
        <w:t>ross</w:t>
      </w:r>
      <w:r w:rsidR="00EC4BDA">
        <w:rPr>
          <w:rFonts w:cs="Times New Roman"/>
          <w:szCs w:val="24"/>
        </w:rPr>
        <w:t>-</w:t>
      </w:r>
      <w:r>
        <w:rPr>
          <w:rFonts w:cs="Times New Roman"/>
          <w:szCs w:val="24"/>
        </w:rPr>
        <w:t xml:space="preserve">correlation coefficient between factorized </w:t>
      </w:r>
      <w:r w:rsidR="00A014C3">
        <w:rPr>
          <w:rFonts w:cs="Times New Roman"/>
          <w:szCs w:val="24"/>
        </w:rPr>
        <w:t>endmembers</w:t>
      </w:r>
      <w:r>
        <w:rPr>
          <w:rFonts w:cs="Times New Roman"/>
          <w:szCs w:val="24"/>
        </w:rPr>
        <w:t xml:space="preserve"> for rank four and the known sources is 0.96, or 0.83 if the best match to Input 3 is included. </w:t>
      </w:r>
    </w:p>
    <w:p w:rsidR="00486332" w:rsidRDefault="00FF4054" w:rsidP="00FF4054">
      <w:pPr>
        <w:autoSpaceDE w:val="0"/>
        <w:autoSpaceDN w:val="0"/>
        <w:adjustRightInd w:val="0"/>
        <w:spacing w:line="480" w:lineRule="auto"/>
        <w:ind w:firstLine="720"/>
        <w:jc w:val="both"/>
        <w:rPr>
          <w:rFonts w:cs="Times New Roman"/>
          <w:szCs w:val="24"/>
        </w:rPr>
      </w:pPr>
      <w:r>
        <w:rPr>
          <w:rFonts w:cs="Times New Roman"/>
          <w:szCs w:val="24"/>
        </w:rPr>
        <w:lastRenderedPageBreak/>
        <w:t>F</w:t>
      </w:r>
      <w:r w:rsidR="00486332">
        <w:rPr>
          <w:rFonts w:cs="Times New Roman"/>
          <w:szCs w:val="24"/>
        </w:rPr>
        <w:t xml:space="preserve">actorization of the 5-source data set to 4 or 5 </w:t>
      </w:r>
      <w:r w:rsidR="00A014C3">
        <w:rPr>
          <w:rFonts w:cs="Times New Roman"/>
          <w:szCs w:val="24"/>
        </w:rPr>
        <w:t>endmembers</w:t>
      </w:r>
      <w:r w:rsidR="00486332">
        <w:rPr>
          <w:rFonts w:cs="Times New Roman"/>
          <w:szCs w:val="24"/>
        </w:rPr>
        <w:t xml:space="preserve"> yielded a mean Cross-correlation coefficient between the factorized sources and their closest known matches of 0.96 </w:t>
      </w:r>
      <w:r w:rsidR="00EC4BDA">
        <w:rPr>
          <w:rFonts w:cs="Times New Roman"/>
          <w:szCs w:val="24"/>
        </w:rPr>
        <w:t>and</w:t>
      </w:r>
      <w:r w:rsidR="00486332">
        <w:rPr>
          <w:rFonts w:cs="Times New Roman"/>
          <w:szCs w:val="24"/>
        </w:rPr>
        <w:t xml:space="preserve"> 0.98, respectively. When comparing mixing weights for the 5-source data set and its factorized equivalents, the R</w:t>
      </w:r>
      <w:r w:rsidR="00486332">
        <w:rPr>
          <w:rFonts w:cs="Times New Roman"/>
          <w:szCs w:val="24"/>
          <w:vertAlign w:val="superscript"/>
        </w:rPr>
        <w:t>2</w:t>
      </w:r>
      <w:r w:rsidR="00486332">
        <w:rPr>
          <w:rFonts w:cs="Times New Roman"/>
          <w:szCs w:val="24"/>
        </w:rPr>
        <w:t xml:space="preserve"> between known and factorized mixing weights is slightly higher for the 5-source factorization (0.93) than for the 4-source factorization (0.87) (</w:t>
      </w:r>
      <w:r w:rsidR="00486332">
        <w:rPr>
          <w:rFonts w:cs="Times New Roman"/>
          <w:b/>
          <w:szCs w:val="24"/>
        </w:rPr>
        <w:t xml:space="preserve">Figure </w:t>
      </w:r>
      <w:r>
        <w:rPr>
          <w:rFonts w:cs="Times New Roman"/>
          <w:b/>
          <w:szCs w:val="24"/>
        </w:rPr>
        <w:t>S4</w:t>
      </w:r>
      <w:r w:rsidR="00486332">
        <w:rPr>
          <w:rFonts w:cs="Times New Roman"/>
          <w:szCs w:val="24"/>
        </w:rPr>
        <w:t>).</w:t>
      </w:r>
    </w:p>
    <w:p w:rsidR="00FF4054" w:rsidRDefault="00937168" w:rsidP="00FF4054">
      <w:pPr>
        <w:spacing w:line="480" w:lineRule="auto"/>
        <w:ind w:firstLine="720"/>
        <w:jc w:val="left"/>
        <w:rPr>
          <w:rFonts w:cs="Times New Roman"/>
          <w:szCs w:val="24"/>
        </w:rPr>
      </w:pPr>
      <w:r>
        <w:rPr>
          <w:rFonts w:cs="Times New Roman"/>
          <w:szCs w:val="24"/>
        </w:rPr>
        <w:t>There is close correspondence between the mixture weighting used to mix the five sources into 40 sink samples and the weightings based on factorization of the 40 sinks (</w:t>
      </w:r>
      <w:r>
        <w:rPr>
          <w:rFonts w:cs="Times New Roman"/>
          <w:b/>
          <w:szCs w:val="24"/>
        </w:rPr>
        <w:t xml:space="preserve">Figure </w:t>
      </w:r>
      <w:r w:rsidR="00FF4054">
        <w:rPr>
          <w:rFonts w:cs="Times New Roman"/>
          <w:b/>
          <w:szCs w:val="24"/>
        </w:rPr>
        <w:t>S</w:t>
      </w:r>
      <w:r>
        <w:rPr>
          <w:rFonts w:cs="Times New Roman"/>
          <w:b/>
          <w:szCs w:val="24"/>
        </w:rPr>
        <w:t>6</w:t>
      </w:r>
      <w:r>
        <w:rPr>
          <w:rFonts w:cs="Times New Roman"/>
          <w:szCs w:val="24"/>
        </w:rPr>
        <w:t>).  Cross-plotting mixture weights from the factorization to rank five and known mixture weights yields a linear fit with a slope of 0.99 and a coefficient of determination of 0.93 (</w:t>
      </w:r>
      <w:r>
        <w:rPr>
          <w:rFonts w:cs="Times New Roman"/>
          <w:b/>
          <w:szCs w:val="24"/>
        </w:rPr>
        <w:t xml:space="preserve">Figure </w:t>
      </w:r>
      <w:r w:rsidR="00FF4054">
        <w:rPr>
          <w:rFonts w:cs="Times New Roman"/>
          <w:b/>
          <w:szCs w:val="24"/>
        </w:rPr>
        <w:t>S</w:t>
      </w:r>
      <w:r>
        <w:rPr>
          <w:rFonts w:cs="Times New Roman"/>
          <w:b/>
          <w:szCs w:val="24"/>
        </w:rPr>
        <w:t>6A</w:t>
      </w:r>
      <w:r>
        <w:rPr>
          <w:rFonts w:cs="Times New Roman"/>
          <w:szCs w:val="24"/>
        </w:rPr>
        <w:t>). Cross-plotting mixture weights from the factorization to rank four and known mixture weights yields slightly more poor fit with a linear fit with a slope (1.04) which deviates from one by more than the slope for rank five (</w:t>
      </w:r>
      <w:r>
        <w:rPr>
          <w:rFonts w:cs="Times New Roman"/>
          <w:b/>
          <w:szCs w:val="24"/>
        </w:rPr>
        <w:t xml:space="preserve">Figure </w:t>
      </w:r>
      <w:r w:rsidR="00FF4054">
        <w:rPr>
          <w:rFonts w:cs="Times New Roman"/>
          <w:b/>
          <w:szCs w:val="24"/>
        </w:rPr>
        <w:t>S</w:t>
      </w:r>
      <w:r>
        <w:rPr>
          <w:rFonts w:cs="Times New Roman"/>
          <w:b/>
          <w:szCs w:val="24"/>
        </w:rPr>
        <w:t>6B</w:t>
      </w:r>
      <w:r>
        <w:rPr>
          <w:rFonts w:cs="Times New Roman"/>
          <w:szCs w:val="24"/>
        </w:rPr>
        <w:t>). It also has a non-zero intercept (0.03) and a lower coefficient of determination (0.87).</w:t>
      </w:r>
      <w:r w:rsidR="00FF4054">
        <w:rPr>
          <w:rFonts w:cs="Times New Roman"/>
          <w:szCs w:val="24"/>
        </w:rPr>
        <w:br w:type="page"/>
      </w:r>
    </w:p>
    <w:p w:rsidR="00937168" w:rsidRPr="006F012F" w:rsidRDefault="00937168" w:rsidP="00FF4054">
      <w:pPr>
        <w:spacing w:line="480" w:lineRule="auto"/>
        <w:ind w:firstLine="720"/>
        <w:jc w:val="left"/>
        <w:rPr>
          <w:rFonts w:cs="Times New Roman"/>
          <w:szCs w:val="24"/>
        </w:rPr>
      </w:pPr>
    </w:p>
    <w:p w:rsidR="0070653D" w:rsidRDefault="0070653D" w:rsidP="006835EA">
      <w:pPr>
        <w:jc w:val="left"/>
        <w:rPr>
          <w:rFonts w:cs="Times New Roman"/>
          <w:szCs w:val="24"/>
        </w:rPr>
      </w:pPr>
    </w:p>
    <w:p w:rsidR="00EE2830" w:rsidRDefault="00D913FB" w:rsidP="006835EA">
      <w:pPr>
        <w:jc w:val="left"/>
        <w:rPr>
          <w:rFonts w:cs="Times New Roman"/>
          <w:szCs w:val="24"/>
        </w:rPr>
      </w:pPr>
      <w:r>
        <w:rPr>
          <w:rFonts w:cs="Times New Roman"/>
          <w:noProof/>
          <w:szCs w:val="24"/>
        </w:rPr>
        <w:drawing>
          <wp:inline distT="0" distB="0" distL="0" distR="0">
            <wp:extent cx="5943600" cy="317670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176709"/>
                    </a:xfrm>
                    <a:prstGeom prst="rect">
                      <a:avLst/>
                    </a:prstGeom>
                    <a:noFill/>
                    <a:ln>
                      <a:noFill/>
                    </a:ln>
                  </pic:spPr>
                </pic:pic>
              </a:graphicData>
            </a:graphic>
          </wp:inline>
        </w:drawing>
      </w:r>
    </w:p>
    <w:p w:rsidR="00A928B8" w:rsidRDefault="00A928B8" w:rsidP="00372CD7">
      <w:pPr>
        <w:jc w:val="both"/>
        <w:rPr>
          <w:rFonts w:cs="Times New Roman"/>
          <w:szCs w:val="24"/>
        </w:rPr>
      </w:pPr>
      <w:r w:rsidRPr="00A928B8">
        <w:rPr>
          <w:rFonts w:cs="Times New Roman"/>
          <w:b/>
          <w:szCs w:val="24"/>
        </w:rPr>
        <w:t>Figure S1</w:t>
      </w:r>
      <w:r>
        <w:rPr>
          <w:rFonts w:cs="Times New Roman"/>
          <w:szCs w:val="24"/>
        </w:rPr>
        <w:t>.</w:t>
      </w:r>
      <w:r w:rsidRPr="00A928B8">
        <w:rPr>
          <w:rFonts w:cs="Times New Roman"/>
          <w:szCs w:val="24"/>
        </w:rPr>
        <w:t xml:space="preserve"> </w:t>
      </w:r>
      <w:r>
        <w:rPr>
          <w:rFonts w:cs="Times New Roman"/>
          <w:szCs w:val="24"/>
        </w:rPr>
        <w:t xml:space="preserve">Comparison of known sources and factorized sources for the 3-source data set. </w:t>
      </w:r>
      <w:r>
        <w:rPr>
          <w:rFonts w:cs="Times New Roman"/>
          <w:color w:val="000000"/>
          <w:szCs w:val="24"/>
        </w:rPr>
        <w:t xml:space="preserve">(A) Eight source kernel density estimates that were used as sources and mixed to form 24 random sink samples. (B) Factorization of the 24 samples to 3 </w:t>
      </w:r>
      <w:r w:rsidR="00EC4BDA">
        <w:rPr>
          <w:rFonts w:cs="Times New Roman"/>
          <w:color w:val="000000"/>
          <w:szCs w:val="24"/>
        </w:rPr>
        <w:t>endmembers</w:t>
      </w:r>
      <w:r>
        <w:rPr>
          <w:rFonts w:cs="Times New Roman"/>
          <w:color w:val="000000"/>
          <w:szCs w:val="24"/>
        </w:rPr>
        <w:t xml:space="preserve"> yields distributions that closely match the original five sources as indicated by </w:t>
      </w:r>
      <w:r w:rsidR="00EC4BDA">
        <w:rPr>
          <w:rFonts w:cs="Times New Roman"/>
          <w:color w:val="000000"/>
          <w:szCs w:val="24"/>
        </w:rPr>
        <w:t>C</w:t>
      </w:r>
      <w:r>
        <w:rPr>
          <w:rFonts w:cs="Times New Roman"/>
          <w:color w:val="000000"/>
          <w:szCs w:val="24"/>
        </w:rPr>
        <w:t xml:space="preserve">ross-correlation </w:t>
      </w:r>
      <w:r w:rsidR="00EC4BDA">
        <w:rPr>
          <w:rFonts w:cs="Times New Roman"/>
          <w:color w:val="000000"/>
          <w:szCs w:val="24"/>
        </w:rPr>
        <w:t>coefficients</w:t>
      </w:r>
      <w:r>
        <w:rPr>
          <w:rFonts w:cs="Times New Roman"/>
          <w:color w:val="000000"/>
          <w:szCs w:val="24"/>
        </w:rPr>
        <w:t xml:space="preserve"> approaching 1 and D values approaching 0. KDEs are based on a 20 </w:t>
      </w:r>
      <w:proofErr w:type="spellStart"/>
      <w:r>
        <w:rPr>
          <w:rFonts w:cs="Times New Roman"/>
          <w:color w:val="000000"/>
          <w:szCs w:val="24"/>
        </w:rPr>
        <w:t>Myr</w:t>
      </w:r>
      <w:proofErr w:type="spellEnd"/>
      <w:r>
        <w:rPr>
          <w:rFonts w:cs="Times New Roman"/>
          <w:color w:val="000000"/>
          <w:szCs w:val="24"/>
        </w:rPr>
        <w:t xml:space="preserve"> bandwidth for age, and a 4 ε-unit bandwidth for </w:t>
      </w:r>
      <w:proofErr w:type="spellStart"/>
      <w:r>
        <w:rPr>
          <w:rFonts w:cs="Times New Roman"/>
          <w:color w:val="000000"/>
          <w:szCs w:val="24"/>
        </w:rPr>
        <w:t>εHf</w:t>
      </w:r>
      <w:r>
        <w:rPr>
          <w:rFonts w:cs="Times New Roman"/>
          <w:color w:val="000000"/>
          <w:szCs w:val="24"/>
          <w:vertAlign w:val="subscript"/>
        </w:rPr>
        <w:t>T</w:t>
      </w:r>
      <w:proofErr w:type="spellEnd"/>
      <w:r>
        <w:rPr>
          <w:rFonts w:cs="Times New Roman"/>
          <w:color w:val="000000"/>
          <w:szCs w:val="24"/>
        </w:rPr>
        <w:t xml:space="preserve"> </w:t>
      </w:r>
      <w:r>
        <w:rPr>
          <w:rFonts w:cs="Times New Roman"/>
          <w:szCs w:val="24"/>
        </w:rPr>
        <w:t>and are plotted it as the contour of the median (50</w:t>
      </w:r>
      <w:r w:rsidRPr="005F6026">
        <w:rPr>
          <w:rFonts w:cs="Times New Roman"/>
          <w:szCs w:val="24"/>
          <w:vertAlign w:val="superscript"/>
        </w:rPr>
        <w:t>th</w:t>
      </w:r>
      <w:r>
        <w:rPr>
          <w:rFonts w:cs="Times New Roman"/>
          <w:szCs w:val="24"/>
        </w:rPr>
        <w:t xml:space="preserve"> percentile).</w:t>
      </w:r>
    </w:p>
    <w:p w:rsidR="00A928B8" w:rsidRDefault="00A928B8" w:rsidP="006835EA">
      <w:pPr>
        <w:jc w:val="left"/>
        <w:rPr>
          <w:rFonts w:cs="Times New Roman"/>
          <w:szCs w:val="24"/>
        </w:rPr>
      </w:pPr>
    </w:p>
    <w:p w:rsidR="00A928B8" w:rsidRDefault="00A928B8" w:rsidP="006835EA">
      <w:pPr>
        <w:jc w:val="left"/>
        <w:rPr>
          <w:rFonts w:cs="Times New Roman"/>
          <w:szCs w:val="24"/>
        </w:rPr>
      </w:pPr>
    </w:p>
    <w:p w:rsidR="00A928B8" w:rsidRDefault="00A928B8" w:rsidP="006835EA">
      <w:pPr>
        <w:jc w:val="left"/>
        <w:rPr>
          <w:rFonts w:cs="Times New Roman"/>
          <w:szCs w:val="24"/>
        </w:rPr>
      </w:pPr>
    </w:p>
    <w:p w:rsidR="00A928B8" w:rsidRDefault="00A928B8" w:rsidP="006835EA">
      <w:pPr>
        <w:jc w:val="left"/>
        <w:rPr>
          <w:rFonts w:cs="Times New Roman"/>
          <w:szCs w:val="24"/>
        </w:rPr>
        <w:sectPr w:rsidR="00A928B8" w:rsidSect="00A928B8">
          <w:type w:val="continuous"/>
          <w:pgSz w:w="12240" w:h="15840"/>
          <w:pgMar w:top="1440" w:right="1440" w:bottom="1440" w:left="1440" w:header="708" w:footer="708" w:gutter="0"/>
          <w:cols w:space="708"/>
          <w:docGrid w:linePitch="360"/>
        </w:sectPr>
      </w:pPr>
    </w:p>
    <w:p w:rsidR="00A928B8" w:rsidRDefault="00A928B8" w:rsidP="00372CD7">
      <w:pPr>
        <w:jc w:val="both"/>
        <w:rPr>
          <w:rFonts w:cs="Times New Roman"/>
          <w:szCs w:val="24"/>
        </w:rPr>
      </w:pPr>
      <w:r>
        <w:rPr>
          <w:rFonts w:cs="Times New Roman"/>
          <w:noProof/>
          <w:szCs w:val="24"/>
        </w:rPr>
        <w:lastRenderedPageBreak/>
        <w:drawing>
          <wp:inline distT="0" distB="0" distL="0" distR="0">
            <wp:extent cx="2762250" cy="796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2250" cy="7962900"/>
                    </a:xfrm>
                    <a:prstGeom prst="rect">
                      <a:avLst/>
                    </a:prstGeom>
                    <a:noFill/>
                    <a:ln>
                      <a:noFill/>
                    </a:ln>
                  </pic:spPr>
                </pic:pic>
              </a:graphicData>
            </a:graphic>
          </wp:inline>
        </w:drawing>
      </w:r>
      <w:r>
        <w:rPr>
          <w:rFonts w:cs="Times New Roman"/>
          <w:szCs w:val="24"/>
        </w:rPr>
        <w:br w:type="column"/>
      </w:r>
      <w:r>
        <w:rPr>
          <w:rFonts w:cs="Times New Roman"/>
          <w:szCs w:val="24"/>
        </w:rPr>
        <w:t xml:space="preserve">Figure S2. </w:t>
      </w:r>
      <w:r w:rsidRPr="00F24BF1">
        <w:rPr>
          <w:rFonts w:cs="Times New Roman"/>
          <w:szCs w:val="24"/>
        </w:rPr>
        <w:t xml:space="preserve">(A) Breakpoint analysis based on factorization of </w:t>
      </w:r>
      <w:r>
        <w:rPr>
          <w:rFonts w:cs="Times New Roman"/>
          <w:szCs w:val="24"/>
        </w:rPr>
        <w:t>24</w:t>
      </w:r>
      <w:r w:rsidRPr="00F24BF1">
        <w:rPr>
          <w:rFonts w:cs="Times New Roman"/>
          <w:szCs w:val="24"/>
        </w:rPr>
        <w:t xml:space="preserve"> sink samples from </w:t>
      </w:r>
      <w:r>
        <w:rPr>
          <w:rFonts w:cs="Times New Roman"/>
          <w:szCs w:val="24"/>
        </w:rPr>
        <w:t>three</w:t>
      </w:r>
      <w:r w:rsidRPr="00F24BF1">
        <w:rPr>
          <w:rFonts w:cs="Times New Roman"/>
          <w:szCs w:val="24"/>
        </w:rPr>
        <w:t xml:space="preserve"> sources to ranks between 2–</w:t>
      </w:r>
      <w:r>
        <w:rPr>
          <w:rFonts w:cs="Times New Roman"/>
          <w:szCs w:val="24"/>
        </w:rPr>
        <w:t>16</w:t>
      </w:r>
      <w:r w:rsidRPr="00F24BF1">
        <w:rPr>
          <w:rFonts w:cs="Times New Roman"/>
          <w:szCs w:val="24"/>
        </w:rPr>
        <w:t xml:space="preserve"> yields a minimum sum of squared residuals at rank </w:t>
      </w:r>
      <w:r>
        <w:rPr>
          <w:rFonts w:cs="Times New Roman"/>
          <w:szCs w:val="24"/>
        </w:rPr>
        <w:t>three</w:t>
      </w:r>
      <w:r w:rsidRPr="00F24BF1">
        <w:rPr>
          <w:rFonts w:cs="Times New Roman"/>
          <w:szCs w:val="24"/>
        </w:rPr>
        <w:t xml:space="preserve">. (B) Bi-cross validation of based on factorization of four quadrants </w:t>
      </w:r>
      <w:r w:rsidR="00A8616C">
        <w:rPr>
          <w:rFonts w:cs="Times New Roman"/>
          <w:szCs w:val="24"/>
        </w:rPr>
        <w:t xml:space="preserve">(i.e., A, B, C, D in equation 5) </w:t>
      </w:r>
      <w:r w:rsidRPr="00F24BF1">
        <w:rPr>
          <w:rFonts w:cs="Times New Roman"/>
          <w:szCs w:val="24"/>
        </w:rPr>
        <w:t xml:space="preserve">from the </w:t>
      </w:r>
      <w:r>
        <w:rPr>
          <w:rFonts w:cs="Times New Roman"/>
          <w:szCs w:val="24"/>
        </w:rPr>
        <w:t>24</w:t>
      </w:r>
      <w:r w:rsidRPr="00F24BF1">
        <w:rPr>
          <w:rFonts w:cs="Times New Roman"/>
          <w:szCs w:val="24"/>
        </w:rPr>
        <w:t xml:space="preserve"> sink samples for ranks 2–</w:t>
      </w:r>
      <w:r>
        <w:rPr>
          <w:rFonts w:cs="Times New Roman"/>
          <w:szCs w:val="24"/>
        </w:rPr>
        <w:t>16</w:t>
      </w:r>
      <w:r w:rsidRPr="00F24BF1">
        <w:rPr>
          <w:rFonts w:cs="Times New Roman"/>
          <w:szCs w:val="24"/>
        </w:rPr>
        <w:t xml:space="preserve"> yields minima in residual at ranks ranging from </w:t>
      </w:r>
      <w:r>
        <w:rPr>
          <w:rFonts w:cs="Times New Roman"/>
          <w:szCs w:val="24"/>
        </w:rPr>
        <w:t xml:space="preserve">three </w:t>
      </w:r>
      <w:r w:rsidRPr="00F24BF1">
        <w:rPr>
          <w:rFonts w:cs="Times New Roman"/>
          <w:szCs w:val="24"/>
        </w:rPr>
        <w:t>to 1</w:t>
      </w:r>
      <w:r>
        <w:rPr>
          <w:rFonts w:cs="Times New Roman"/>
          <w:szCs w:val="24"/>
        </w:rPr>
        <w:t>3</w:t>
      </w:r>
      <w:r w:rsidRPr="00F24BF1">
        <w:rPr>
          <w:rFonts w:cs="Times New Roman"/>
          <w:szCs w:val="24"/>
        </w:rPr>
        <w:t xml:space="preserve">. (C) The sum of residuals of each of the four quadrants yields a minimum at a rank of </w:t>
      </w:r>
      <w:r>
        <w:rPr>
          <w:rFonts w:cs="Times New Roman"/>
          <w:szCs w:val="24"/>
        </w:rPr>
        <w:t>five</w:t>
      </w:r>
      <w:r w:rsidRPr="00F24BF1">
        <w:rPr>
          <w:rFonts w:cs="Times New Roman"/>
          <w:szCs w:val="24"/>
        </w:rPr>
        <w:t>.</w:t>
      </w:r>
      <w:r>
        <w:rPr>
          <w:rFonts w:cs="Times New Roman"/>
          <w:szCs w:val="24"/>
        </w:rPr>
        <w:t xml:space="preserve"> Data for this figure are presented in Supplemental Table S3.</w:t>
      </w:r>
    </w:p>
    <w:p w:rsidR="00A928B8" w:rsidRDefault="00A928B8" w:rsidP="006835EA">
      <w:pPr>
        <w:jc w:val="left"/>
        <w:rPr>
          <w:rFonts w:cs="Times New Roman"/>
          <w:szCs w:val="24"/>
        </w:rPr>
      </w:pPr>
    </w:p>
    <w:p w:rsidR="00A928B8" w:rsidRDefault="00A928B8" w:rsidP="006835EA">
      <w:pPr>
        <w:jc w:val="left"/>
        <w:rPr>
          <w:rFonts w:cs="Times New Roman"/>
          <w:szCs w:val="24"/>
        </w:rPr>
      </w:pPr>
    </w:p>
    <w:p w:rsidR="00A928B8" w:rsidRDefault="00A928B8" w:rsidP="006835EA">
      <w:pPr>
        <w:jc w:val="left"/>
        <w:rPr>
          <w:rFonts w:cs="Times New Roman"/>
          <w:szCs w:val="24"/>
        </w:rPr>
        <w:sectPr w:rsidR="00A928B8" w:rsidSect="00A928B8">
          <w:type w:val="continuous"/>
          <w:pgSz w:w="12240" w:h="15840"/>
          <w:pgMar w:top="1440" w:right="1440" w:bottom="1440" w:left="1440" w:header="708" w:footer="708" w:gutter="0"/>
          <w:cols w:num="2" w:space="708"/>
          <w:docGrid w:linePitch="360"/>
        </w:sectPr>
      </w:pPr>
    </w:p>
    <w:p w:rsidR="00A928B8" w:rsidRDefault="00A928B8" w:rsidP="006835EA">
      <w:pPr>
        <w:jc w:val="left"/>
        <w:rPr>
          <w:rFonts w:cs="Times New Roman"/>
          <w:szCs w:val="24"/>
        </w:rPr>
      </w:pPr>
    </w:p>
    <w:p w:rsidR="00A928B8" w:rsidRDefault="00A928B8" w:rsidP="006835EA">
      <w:pPr>
        <w:jc w:val="left"/>
        <w:rPr>
          <w:rFonts w:cs="Times New Roman"/>
          <w:szCs w:val="24"/>
        </w:rPr>
      </w:pPr>
    </w:p>
    <w:p w:rsidR="00A928B8" w:rsidRDefault="00A928B8" w:rsidP="006835EA">
      <w:pPr>
        <w:jc w:val="left"/>
        <w:rPr>
          <w:rFonts w:cs="Times New Roman"/>
          <w:szCs w:val="24"/>
        </w:rPr>
        <w:sectPr w:rsidR="00A928B8" w:rsidSect="00A928B8">
          <w:type w:val="continuous"/>
          <w:pgSz w:w="12240" w:h="15840"/>
          <w:pgMar w:top="1440" w:right="1440" w:bottom="1440" w:left="1440" w:header="708" w:footer="708" w:gutter="0"/>
          <w:cols w:space="708"/>
          <w:docGrid w:linePitch="360"/>
        </w:sectPr>
      </w:pPr>
    </w:p>
    <w:p w:rsidR="00A928B8" w:rsidRDefault="00A928B8" w:rsidP="006835EA">
      <w:pPr>
        <w:jc w:val="left"/>
        <w:rPr>
          <w:rFonts w:cs="Times New Roman"/>
          <w:szCs w:val="24"/>
        </w:rPr>
      </w:pPr>
    </w:p>
    <w:p w:rsidR="00A928B8" w:rsidRDefault="00D913FB" w:rsidP="006835EA">
      <w:pPr>
        <w:jc w:val="left"/>
        <w:rPr>
          <w:rFonts w:cs="Times New Roman"/>
          <w:szCs w:val="24"/>
        </w:rPr>
      </w:pPr>
      <w:bookmarkStart w:id="0" w:name="_GoBack"/>
      <w:bookmarkEnd w:id="0"/>
      <w:r>
        <w:rPr>
          <w:rFonts w:cs="Times New Roman"/>
          <w:noProof/>
          <w:szCs w:val="24"/>
        </w:rPr>
        <w:drawing>
          <wp:inline distT="0" distB="0" distL="0" distR="0">
            <wp:extent cx="3890645" cy="3571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0645" cy="3571240"/>
                    </a:xfrm>
                    <a:prstGeom prst="rect">
                      <a:avLst/>
                    </a:prstGeom>
                    <a:noFill/>
                    <a:ln>
                      <a:noFill/>
                    </a:ln>
                  </pic:spPr>
                </pic:pic>
              </a:graphicData>
            </a:graphic>
          </wp:inline>
        </w:drawing>
      </w:r>
    </w:p>
    <w:p w:rsidR="00EC2DE8" w:rsidRDefault="00372CD7" w:rsidP="00EC2DE8">
      <w:pPr>
        <w:autoSpaceDE w:val="0"/>
        <w:autoSpaceDN w:val="0"/>
        <w:adjustRightInd w:val="0"/>
        <w:jc w:val="both"/>
        <w:rPr>
          <w:rFonts w:ascii="Times" w:hAnsi="Times"/>
          <w:noProof/>
        </w:rPr>
      </w:pPr>
      <w:r>
        <w:rPr>
          <w:rFonts w:cs="Times New Roman"/>
          <w:szCs w:val="24"/>
        </w:rPr>
        <w:t xml:space="preserve">Figure S3. </w:t>
      </w:r>
      <w:r>
        <w:t>Comparison of the known weights for the 24 sink samples mixed from three known sources to the mixing weights based on factorization of the sink samples to rank three.</w:t>
      </w:r>
      <w:r w:rsidR="00EC2DE8" w:rsidRPr="00EC2DE8">
        <w:rPr>
          <w:rFonts w:ascii="Times" w:hAnsi="Times"/>
          <w:noProof/>
        </w:rPr>
        <w:t xml:space="preserve"> </w:t>
      </w:r>
    </w:p>
    <w:p w:rsidR="00EC2DE8" w:rsidRDefault="000E5554" w:rsidP="00EC2DE8">
      <w:pPr>
        <w:autoSpaceDE w:val="0"/>
        <w:autoSpaceDN w:val="0"/>
        <w:adjustRightInd w:val="0"/>
        <w:jc w:val="both"/>
        <w:rPr>
          <w:rFonts w:cs="Times New Roman"/>
          <w:szCs w:val="24"/>
        </w:rPr>
      </w:pPr>
      <w:r>
        <w:rPr>
          <w:rFonts w:ascii="Times" w:hAnsi="Times"/>
          <w:noProof/>
        </w:rPr>
        <w:lastRenderedPageBreak/>
        <w:drawing>
          <wp:inline distT="0" distB="0" distL="0" distR="0">
            <wp:extent cx="5943600" cy="4537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37710"/>
                    </a:xfrm>
                    <a:prstGeom prst="rect">
                      <a:avLst/>
                    </a:prstGeom>
                    <a:noFill/>
                    <a:ln>
                      <a:noFill/>
                    </a:ln>
                  </pic:spPr>
                </pic:pic>
              </a:graphicData>
            </a:graphic>
          </wp:inline>
        </w:drawing>
      </w:r>
    </w:p>
    <w:p w:rsidR="008F4D4F" w:rsidRDefault="00EC2DE8" w:rsidP="00EC2DE8">
      <w:pPr>
        <w:autoSpaceDE w:val="0"/>
        <w:autoSpaceDN w:val="0"/>
        <w:adjustRightInd w:val="0"/>
        <w:jc w:val="both"/>
        <w:rPr>
          <w:rFonts w:cs="Times New Roman"/>
          <w:szCs w:val="24"/>
        </w:rPr>
        <w:sectPr w:rsidR="008F4D4F" w:rsidSect="00A928B8">
          <w:type w:val="continuous"/>
          <w:pgSz w:w="12240" w:h="15840"/>
          <w:pgMar w:top="1440" w:right="1440" w:bottom="1440" w:left="1440" w:header="708" w:footer="708" w:gutter="0"/>
          <w:cols w:space="708"/>
          <w:docGrid w:linePitch="360"/>
        </w:sectPr>
      </w:pPr>
      <w:r w:rsidRPr="00BE3ED8">
        <w:rPr>
          <w:rFonts w:cs="Times New Roman"/>
          <w:b/>
          <w:color w:val="000000"/>
          <w:szCs w:val="24"/>
        </w:rPr>
        <w:t xml:space="preserve">Figure </w:t>
      </w:r>
      <w:r>
        <w:rPr>
          <w:rFonts w:cs="Times New Roman"/>
          <w:b/>
          <w:color w:val="000000"/>
          <w:szCs w:val="24"/>
        </w:rPr>
        <w:t>S4</w:t>
      </w:r>
      <w:r w:rsidRPr="00BE3ED8">
        <w:rPr>
          <w:rFonts w:cs="Times New Roman"/>
          <w:b/>
          <w:color w:val="000000"/>
          <w:szCs w:val="24"/>
        </w:rPr>
        <w:t>.</w:t>
      </w:r>
      <w:r>
        <w:rPr>
          <w:rFonts w:cs="Times New Roman"/>
          <w:b/>
          <w:color w:val="000000"/>
          <w:szCs w:val="24"/>
        </w:rPr>
        <w:t xml:space="preserve"> </w:t>
      </w:r>
      <w:r>
        <w:rPr>
          <w:rFonts w:cs="Times New Roman"/>
          <w:szCs w:val="24"/>
        </w:rPr>
        <w:t xml:space="preserve">Comparison of known sources and factorized </w:t>
      </w:r>
      <w:r w:rsidR="00EC4BDA">
        <w:rPr>
          <w:rFonts w:cs="Times New Roman"/>
          <w:szCs w:val="24"/>
        </w:rPr>
        <w:t>endmembers</w:t>
      </w:r>
      <w:r>
        <w:rPr>
          <w:rFonts w:cs="Times New Roman"/>
          <w:szCs w:val="24"/>
        </w:rPr>
        <w:t xml:space="preserve"> for the 5-source data set. </w:t>
      </w:r>
      <w:r>
        <w:rPr>
          <w:rFonts w:cs="Times New Roman"/>
          <w:color w:val="000000"/>
          <w:szCs w:val="24"/>
        </w:rPr>
        <w:t xml:space="preserve">(A) Five source kernel density estimates that were used as sources and mixed to form 40 random sink samples. (B) Factorization of the 40 samples to 5 </w:t>
      </w:r>
      <w:r w:rsidR="00EC4BDA">
        <w:rPr>
          <w:rFonts w:cs="Times New Roman"/>
          <w:color w:val="000000"/>
          <w:szCs w:val="24"/>
        </w:rPr>
        <w:t>endmembers</w:t>
      </w:r>
      <w:r>
        <w:rPr>
          <w:rFonts w:cs="Times New Roman"/>
          <w:color w:val="000000"/>
          <w:szCs w:val="24"/>
        </w:rPr>
        <w:t xml:space="preserve"> yields distributions that closely match the original five sources as indicated by Cross-correlation values (CC) approaching 1 and Kolmogorov-Smirnov D values (K-S) approaching 0. (C) Factorization of the 40 sink samples to 4 </w:t>
      </w:r>
      <w:r w:rsidR="00EC4BDA">
        <w:rPr>
          <w:rFonts w:cs="Times New Roman"/>
          <w:color w:val="000000"/>
          <w:szCs w:val="24"/>
        </w:rPr>
        <w:t xml:space="preserve">endmembers </w:t>
      </w:r>
      <w:r>
        <w:rPr>
          <w:rFonts w:cs="Times New Roman"/>
          <w:color w:val="000000"/>
          <w:szCs w:val="24"/>
        </w:rPr>
        <w:t xml:space="preserve">yields distribution that match the original five more poorly. KDEs are based on a 20 </w:t>
      </w:r>
      <w:proofErr w:type="spellStart"/>
      <w:r>
        <w:rPr>
          <w:rFonts w:cs="Times New Roman"/>
          <w:color w:val="000000"/>
          <w:szCs w:val="24"/>
        </w:rPr>
        <w:t>Myr</w:t>
      </w:r>
      <w:proofErr w:type="spellEnd"/>
      <w:r>
        <w:rPr>
          <w:rFonts w:cs="Times New Roman"/>
          <w:color w:val="000000"/>
          <w:szCs w:val="24"/>
        </w:rPr>
        <w:t xml:space="preserve"> bandwidth for age, and a 4 ε-unit bandwidth for </w:t>
      </w:r>
      <w:proofErr w:type="spellStart"/>
      <w:r>
        <w:rPr>
          <w:rFonts w:cs="Times New Roman"/>
          <w:color w:val="000000"/>
          <w:szCs w:val="24"/>
        </w:rPr>
        <w:t>εHf</w:t>
      </w:r>
      <w:r>
        <w:rPr>
          <w:rFonts w:cs="Times New Roman"/>
          <w:color w:val="000000"/>
          <w:szCs w:val="24"/>
          <w:vertAlign w:val="subscript"/>
        </w:rPr>
        <w:t>T</w:t>
      </w:r>
      <w:proofErr w:type="spellEnd"/>
      <w:r>
        <w:rPr>
          <w:rFonts w:cs="Times New Roman"/>
          <w:color w:val="000000"/>
          <w:szCs w:val="24"/>
        </w:rPr>
        <w:t xml:space="preserve"> </w:t>
      </w:r>
      <w:r>
        <w:rPr>
          <w:rFonts w:cs="Times New Roman"/>
          <w:szCs w:val="24"/>
        </w:rPr>
        <w:t>and are plotted it as the contour of the median (50</w:t>
      </w:r>
      <w:r w:rsidRPr="005F6026">
        <w:rPr>
          <w:rFonts w:cs="Times New Roman"/>
          <w:szCs w:val="24"/>
          <w:vertAlign w:val="superscript"/>
        </w:rPr>
        <w:t>th</w:t>
      </w:r>
      <w:r>
        <w:rPr>
          <w:rFonts w:cs="Times New Roman"/>
          <w:szCs w:val="24"/>
        </w:rPr>
        <w:t xml:space="preserve"> percentile).</w:t>
      </w:r>
    </w:p>
    <w:p w:rsidR="00EC2DE8" w:rsidRDefault="002F2790" w:rsidP="00EC2DE8">
      <w:pPr>
        <w:autoSpaceDE w:val="0"/>
        <w:autoSpaceDN w:val="0"/>
        <w:adjustRightInd w:val="0"/>
        <w:jc w:val="both"/>
        <w:rPr>
          <w:rFonts w:cs="Times New Roman"/>
          <w:szCs w:val="24"/>
        </w:rPr>
      </w:pPr>
      <w:r>
        <w:rPr>
          <w:rFonts w:cs="Times New Roman"/>
          <w:noProof/>
          <w:szCs w:val="24"/>
        </w:rPr>
        <w:lastRenderedPageBreak/>
        <w:drawing>
          <wp:inline distT="0" distB="0" distL="0" distR="0" wp14:anchorId="015FBADE" wp14:editId="5090942A">
            <wp:extent cx="2743200" cy="7658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400" t="7970" r="30957" b="10886"/>
                    <a:stretch/>
                  </pic:blipFill>
                  <pic:spPr bwMode="auto">
                    <a:xfrm>
                      <a:off x="0" y="0"/>
                      <a:ext cx="2749736" cy="7676631"/>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szCs w:val="24"/>
        </w:rPr>
        <w:br w:type="column"/>
      </w:r>
      <w:r w:rsidRPr="00F24BF1">
        <w:rPr>
          <w:rFonts w:cs="Times New Roman"/>
          <w:b/>
          <w:szCs w:val="24"/>
        </w:rPr>
        <w:t xml:space="preserve">Figure </w:t>
      </w:r>
      <w:r>
        <w:rPr>
          <w:rFonts w:cs="Times New Roman"/>
          <w:b/>
          <w:szCs w:val="24"/>
        </w:rPr>
        <w:t>S5</w:t>
      </w:r>
      <w:r w:rsidRPr="00F24BF1">
        <w:rPr>
          <w:rFonts w:cs="Times New Roman"/>
          <w:b/>
          <w:szCs w:val="24"/>
        </w:rPr>
        <w:t xml:space="preserve">. </w:t>
      </w:r>
      <w:r w:rsidRPr="00F24BF1">
        <w:rPr>
          <w:rFonts w:cs="Times New Roman"/>
          <w:szCs w:val="24"/>
        </w:rPr>
        <w:t xml:space="preserve">(A) Breakpoint analysis based on factorization of 40 sink samples from five sources to ranks between 2–27 yields a minimum sum of squared residuals at rank four, closely followed by rank five. (B) Bi-cross validation of based on factorization of four quadrants </w:t>
      </w:r>
      <w:bookmarkStart w:id="1" w:name="_Hlk55294272"/>
      <w:r>
        <w:rPr>
          <w:rFonts w:cs="Times New Roman"/>
          <w:szCs w:val="24"/>
        </w:rPr>
        <w:t>(i.e., A, B, C, D in equation 5)</w:t>
      </w:r>
      <w:bookmarkEnd w:id="1"/>
      <w:r>
        <w:rPr>
          <w:rFonts w:cs="Times New Roman"/>
          <w:szCs w:val="24"/>
        </w:rPr>
        <w:t xml:space="preserve"> </w:t>
      </w:r>
      <w:r w:rsidRPr="00F24BF1">
        <w:rPr>
          <w:rFonts w:cs="Times New Roman"/>
          <w:szCs w:val="24"/>
        </w:rPr>
        <w:t>from the 40 sink samples for ranks 2–27 yields minima in residual at ranks ranging from five to 10. (C) The sum of residuals of each of the four quadrants yields a minimum at a rank of 10.</w:t>
      </w:r>
      <w:r>
        <w:rPr>
          <w:rFonts w:cs="Times New Roman"/>
          <w:szCs w:val="24"/>
        </w:rPr>
        <w:t xml:space="preserve"> Data for this figure are presented in Supplemental Table S8</w:t>
      </w:r>
    </w:p>
    <w:p w:rsidR="002F2790" w:rsidRDefault="002F2790" w:rsidP="00EC2DE8">
      <w:pPr>
        <w:autoSpaceDE w:val="0"/>
        <w:autoSpaceDN w:val="0"/>
        <w:adjustRightInd w:val="0"/>
        <w:jc w:val="both"/>
        <w:rPr>
          <w:rFonts w:cs="Times New Roman"/>
          <w:szCs w:val="24"/>
        </w:rPr>
        <w:sectPr w:rsidR="002F2790" w:rsidSect="002F2790">
          <w:type w:val="continuous"/>
          <w:pgSz w:w="12240" w:h="15840"/>
          <w:pgMar w:top="1440" w:right="1440" w:bottom="1440" w:left="1440" w:header="708" w:footer="708" w:gutter="0"/>
          <w:cols w:num="2" w:space="708"/>
          <w:docGrid w:linePitch="360"/>
        </w:sectPr>
      </w:pPr>
    </w:p>
    <w:p w:rsidR="002F2790" w:rsidRDefault="002F2790" w:rsidP="00EC2DE8">
      <w:pPr>
        <w:autoSpaceDE w:val="0"/>
        <w:autoSpaceDN w:val="0"/>
        <w:adjustRightInd w:val="0"/>
        <w:jc w:val="both"/>
        <w:rPr>
          <w:rFonts w:cs="Times New Roman"/>
          <w:szCs w:val="24"/>
        </w:rPr>
      </w:pPr>
    </w:p>
    <w:p w:rsidR="002F2790" w:rsidRDefault="002F2790" w:rsidP="00EC2DE8">
      <w:pPr>
        <w:autoSpaceDE w:val="0"/>
        <w:autoSpaceDN w:val="0"/>
        <w:adjustRightInd w:val="0"/>
        <w:jc w:val="both"/>
        <w:rPr>
          <w:rFonts w:cs="Times New Roman"/>
          <w:szCs w:val="24"/>
        </w:rPr>
      </w:pPr>
    </w:p>
    <w:p w:rsidR="002F2790" w:rsidRDefault="002F2790" w:rsidP="00EC2DE8">
      <w:pPr>
        <w:autoSpaceDE w:val="0"/>
        <w:autoSpaceDN w:val="0"/>
        <w:adjustRightInd w:val="0"/>
        <w:jc w:val="both"/>
        <w:rPr>
          <w:rFonts w:cs="Times New Roman"/>
          <w:szCs w:val="24"/>
        </w:rPr>
        <w:sectPr w:rsidR="002F2790" w:rsidSect="00A928B8">
          <w:type w:val="continuous"/>
          <w:pgSz w:w="12240" w:h="15840"/>
          <w:pgMar w:top="1440" w:right="1440" w:bottom="1440" w:left="1440" w:header="708" w:footer="708" w:gutter="0"/>
          <w:cols w:space="708"/>
          <w:docGrid w:linePitch="360"/>
        </w:sectPr>
      </w:pPr>
    </w:p>
    <w:p w:rsidR="002F2790" w:rsidRDefault="002F2790" w:rsidP="002F2790">
      <w:pPr>
        <w:autoSpaceDE w:val="0"/>
        <w:autoSpaceDN w:val="0"/>
        <w:adjustRightInd w:val="0"/>
        <w:spacing w:line="480" w:lineRule="auto"/>
        <w:jc w:val="both"/>
        <w:rPr>
          <w:rFonts w:cs="Times New Roman"/>
          <w:szCs w:val="24"/>
        </w:rPr>
      </w:pPr>
    </w:p>
    <w:p w:rsidR="002F2790" w:rsidRDefault="00D913FB" w:rsidP="002F2790">
      <w:pPr>
        <w:autoSpaceDE w:val="0"/>
        <w:autoSpaceDN w:val="0"/>
        <w:adjustRightInd w:val="0"/>
        <w:spacing w:line="480" w:lineRule="auto"/>
        <w:jc w:val="both"/>
        <w:rPr>
          <w:rFonts w:cs="Times New Roman"/>
          <w:szCs w:val="24"/>
        </w:rPr>
      </w:pPr>
      <w:r>
        <w:rPr>
          <w:rFonts w:cs="Times New Roman"/>
          <w:noProof/>
          <w:szCs w:val="24"/>
        </w:rPr>
        <w:lastRenderedPageBreak/>
        <w:drawing>
          <wp:inline distT="0" distB="0" distL="0" distR="0">
            <wp:extent cx="3890645" cy="7134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0645" cy="7134225"/>
                    </a:xfrm>
                    <a:prstGeom prst="rect">
                      <a:avLst/>
                    </a:prstGeom>
                    <a:noFill/>
                    <a:ln>
                      <a:noFill/>
                    </a:ln>
                  </pic:spPr>
                </pic:pic>
              </a:graphicData>
            </a:graphic>
          </wp:inline>
        </w:drawing>
      </w:r>
    </w:p>
    <w:p w:rsidR="002F2790" w:rsidRDefault="002F2790" w:rsidP="002F2790">
      <w:pPr>
        <w:autoSpaceDE w:val="0"/>
        <w:autoSpaceDN w:val="0"/>
        <w:adjustRightInd w:val="0"/>
        <w:jc w:val="both"/>
      </w:pPr>
      <w:r>
        <w:rPr>
          <w:rFonts w:cs="Times New Roman"/>
          <w:b/>
          <w:color w:val="000000"/>
          <w:szCs w:val="24"/>
        </w:rPr>
        <w:t>Figure S</w:t>
      </w:r>
      <w:r w:rsidR="00FF4054">
        <w:rPr>
          <w:rFonts w:cs="Times New Roman"/>
          <w:b/>
          <w:color w:val="000000"/>
          <w:szCs w:val="24"/>
        </w:rPr>
        <w:t>6</w:t>
      </w:r>
      <w:r>
        <w:rPr>
          <w:rFonts w:cs="Times New Roman"/>
          <w:b/>
          <w:color w:val="000000"/>
          <w:szCs w:val="24"/>
        </w:rPr>
        <w:t>.</w:t>
      </w:r>
      <w:r>
        <w:t xml:space="preserve"> Comparison of the known weights for the 40 sink samples mixed from five known sources to the mixing weights based on factorization of the sink samples. A) Comparison based on factorization to rank five. B) Comparison based on factorization to rank four. For factorization to rank four the comparison is based on the weightings for the four factorized sources that most </w:t>
      </w:r>
      <w:r>
        <w:lastRenderedPageBreak/>
        <w:t xml:space="preserve">closely match the known counterparts (see </w:t>
      </w:r>
      <w:r>
        <w:rPr>
          <w:b/>
        </w:rPr>
        <w:t>Figure 2C</w:t>
      </w:r>
      <w:r>
        <w:t>). Data for this figure are presented in Supplemental Table S8.</w:t>
      </w:r>
    </w:p>
    <w:p w:rsidR="002F2790" w:rsidRDefault="002F2790" w:rsidP="00EC2DE8">
      <w:pPr>
        <w:autoSpaceDE w:val="0"/>
        <w:autoSpaceDN w:val="0"/>
        <w:adjustRightInd w:val="0"/>
        <w:jc w:val="both"/>
        <w:rPr>
          <w:rFonts w:cs="Times New Roman"/>
          <w:szCs w:val="24"/>
        </w:rPr>
      </w:pPr>
    </w:p>
    <w:p w:rsidR="00A928B8" w:rsidRDefault="00A928B8" w:rsidP="00372CD7">
      <w:pPr>
        <w:jc w:val="both"/>
      </w:pPr>
    </w:p>
    <w:p w:rsidR="002E79F5" w:rsidRDefault="002E79F5" w:rsidP="00372CD7">
      <w:pPr>
        <w:jc w:val="both"/>
      </w:pPr>
    </w:p>
    <w:p w:rsidR="002E79F5" w:rsidRDefault="002E79F5" w:rsidP="00372CD7">
      <w:pPr>
        <w:jc w:val="both"/>
      </w:pPr>
    </w:p>
    <w:p w:rsidR="002E79F5" w:rsidRDefault="002E79F5" w:rsidP="00372CD7">
      <w:pPr>
        <w:jc w:val="both"/>
      </w:pPr>
      <w:r>
        <w:rPr>
          <w:noProof/>
        </w:rPr>
        <w:drawing>
          <wp:inline distT="0" distB="0" distL="0" distR="0">
            <wp:extent cx="5943600" cy="694566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044"/>
                    <a:stretch/>
                  </pic:blipFill>
                  <pic:spPr bwMode="auto">
                    <a:xfrm>
                      <a:off x="0" y="0"/>
                      <a:ext cx="5943600" cy="6945661"/>
                    </a:xfrm>
                    <a:prstGeom prst="rect">
                      <a:avLst/>
                    </a:prstGeom>
                    <a:noFill/>
                    <a:ln>
                      <a:noFill/>
                    </a:ln>
                    <a:extLst>
                      <a:ext uri="{53640926-AAD7-44D8-BBD7-CCE9431645EC}">
                        <a14:shadowObscured xmlns:a14="http://schemas.microsoft.com/office/drawing/2010/main"/>
                      </a:ext>
                    </a:extLst>
                  </pic:spPr>
                </pic:pic>
              </a:graphicData>
            </a:graphic>
          </wp:inline>
        </w:drawing>
      </w:r>
    </w:p>
    <w:p w:rsidR="002E79F5" w:rsidRDefault="002E79F5" w:rsidP="00372CD7">
      <w:pPr>
        <w:jc w:val="both"/>
      </w:pPr>
      <w:r w:rsidRPr="00FF4054">
        <w:rPr>
          <w:b/>
        </w:rPr>
        <w:lastRenderedPageBreak/>
        <w:t>Figure S</w:t>
      </w:r>
      <w:r w:rsidR="0015578D">
        <w:rPr>
          <w:b/>
        </w:rPr>
        <w:t>7</w:t>
      </w:r>
      <w:r>
        <w:t xml:space="preserve">. Bivariate (U-Pb age and </w:t>
      </w:r>
      <w:proofErr w:type="spellStart"/>
      <w:r>
        <w:rPr>
          <w:rFonts w:cs="Times New Roman"/>
          <w:szCs w:val="24"/>
        </w:rPr>
        <w:t>εHf</w:t>
      </w:r>
      <w:r>
        <w:rPr>
          <w:rFonts w:cs="Times New Roman"/>
          <w:szCs w:val="24"/>
          <w:vertAlign w:val="subscript"/>
        </w:rPr>
        <w:t>t</w:t>
      </w:r>
      <w:proofErr w:type="spellEnd"/>
      <w:r>
        <w:rPr>
          <w:rFonts w:cs="Times New Roman"/>
          <w:szCs w:val="24"/>
        </w:rPr>
        <w:t xml:space="preserve">) </w:t>
      </w:r>
      <w:r w:rsidR="004E2086">
        <w:t>d</w:t>
      </w:r>
      <w:r>
        <w:t>istrib</w:t>
      </w:r>
      <w:r w:rsidR="004E2086">
        <w:t xml:space="preserve">utions of the 29 empirical source samples to which factorized sources were compared.  </w:t>
      </w:r>
      <w:r w:rsidR="00EC0FD0">
        <w:t xml:space="preserve">Densities are shown as heat maps with greater probability shown in red and lower probability shown in blue. </w:t>
      </w:r>
      <w:r w:rsidR="00A84706">
        <w:t>White contour is at the 95</w:t>
      </w:r>
      <w:r w:rsidR="00A84706" w:rsidRPr="00A84706">
        <w:rPr>
          <w:vertAlign w:val="superscript"/>
        </w:rPr>
        <w:t>th</w:t>
      </w:r>
      <w:r w:rsidR="00A84706">
        <w:t xml:space="preserve"> percentile. </w:t>
      </w:r>
    </w:p>
    <w:p w:rsidR="000921E3" w:rsidRDefault="000921E3" w:rsidP="00372CD7">
      <w:pPr>
        <w:jc w:val="both"/>
        <w:rPr>
          <w:rFonts w:cs="Times New Roman"/>
          <w:szCs w:val="24"/>
        </w:rPr>
      </w:pPr>
    </w:p>
    <w:p w:rsidR="000921E3" w:rsidRDefault="000921E3" w:rsidP="00372CD7">
      <w:pPr>
        <w:jc w:val="both"/>
        <w:rPr>
          <w:rFonts w:cs="Times New Roman"/>
          <w:szCs w:val="24"/>
        </w:rPr>
      </w:pPr>
    </w:p>
    <w:p w:rsidR="00EE2830" w:rsidRDefault="00EE2830" w:rsidP="006835EA">
      <w:pPr>
        <w:jc w:val="left"/>
        <w:rPr>
          <w:rFonts w:cs="Times New Roman"/>
          <w:szCs w:val="24"/>
        </w:rPr>
      </w:pPr>
    </w:p>
    <w:p w:rsidR="00EC4BDA" w:rsidRPr="00EC4BDA" w:rsidRDefault="00EE2830" w:rsidP="00EC4BDA">
      <w:pPr>
        <w:pStyle w:val="EndNoteBibliographyTitle"/>
      </w:pPr>
      <w:r>
        <w:fldChar w:fldCharType="begin"/>
      </w:r>
      <w:r>
        <w:instrText xml:space="preserve"> ADDIN EN.REFLIST </w:instrText>
      </w:r>
      <w:r>
        <w:fldChar w:fldCharType="separate"/>
      </w:r>
      <w:r w:rsidR="00EC4BDA" w:rsidRPr="00EC4BDA">
        <w:t>Works Cited</w:t>
      </w:r>
    </w:p>
    <w:p w:rsidR="00EC4BDA" w:rsidRPr="00EC4BDA" w:rsidRDefault="00EC4BDA" w:rsidP="00EC4BDA">
      <w:pPr>
        <w:pStyle w:val="EndNoteBibliographyTitle"/>
      </w:pPr>
    </w:p>
    <w:p w:rsidR="00EC4BDA" w:rsidRPr="00EC4BDA" w:rsidRDefault="00EC4BDA" w:rsidP="00EC4BDA">
      <w:pPr>
        <w:pStyle w:val="EndNoteBibliography"/>
        <w:spacing w:after="480"/>
      </w:pPr>
      <w:r w:rsidRPr="00EC4BDA">
        <w:t>Domeier, M., Torsvik, T.H., 2014. Plate tectonics in the late Paleozoic. Geoscience Frontiers 5, 303-350.</w:t>
      </w:r>
    </w:p>
    <w:p w:rsidR="00EC4BDA" w:rsidRPr="00EC4BDA" w:rsidRDefault="00EC4BDA" w:rsidP="00EC4BDA">
      <w:pPr>
        <w:pStyle w:val="EndNoteBibliography"/>
        <w:spacing w:after="480"/>
      </w:pPr>
      <w:r w:rsidRPr="00EC4BDA">
        <w:t>Gehrels, G., Pecha, M., 2014. Detrital zircon U-Pb geochronology and Hf isotope geochemistry of Paleozoic and Triassic passive margin strata of western North America. Geosphere 10, 49–65.</w:t>
      </w:r>
    </w:p>
    <w:p w:rsidR="00EC4BDA" w:rsidRPr="00EC4BDA" w:rsidRDefault="00EC4BDA" w:rsidP="00EC4BDA">
      <w:pPr>
        <w:pStyle w:val="EndNoteBibliography"/>
        <w:spacing w:after="480"/>
      </w:pPr>
      <w:r w:rsidRPr="00EC4BDA">
        <w:t>Mueller, P.A., Kamenov, G.D., Heatherington, A.L., Richards, J., 2008. Crustal evolution in the southern Appalachian orogen: Evidence from Hf isotopes in detrital zircons. The Journal of Geology 116, 414-422.</w:t>
      </w:r>
    </w:p>
    <w:p w:rsidR="00EC4BDA" w:rsidRPr="00EC4BDA" w:rsidRDefault="00EC4BDA" w:rsidP="00EC4BDA">
      <w:pPr>
        <w:pStyle w:val="EndNoteBibliography"/>
        <w:spacing w:after="480"/>
      </w:pPr>
      <w:r w:rsidRPr="00EC4BDA">
        <w:t>Pollock, J.C., Sylvester, P.J., Barr, S.M., 2015. Lu–Hf zircon and Sm–Nd whole-rock isotope constraints on the extent of juvenile arc crust in Avalonia: examples from Newfoundland and Nova Scotia, Canada. Can. J. Earth Sci. 52, 161-181.</w:t>
      </w:r>
    </w:p>
    <w:p w:rsidR="00EC4BDA" w:rsidRPr="00EC4BDA" w:rsidRDefault="00EC4BDA" w:rsidP="00EC4BDA">
      <w:pPr>
        <w:pStyle w:val="EndNoteBibliography"/>
        <w:spacing w:after="480"/>
      </w:pPr>
      <w:r w:rsidRPr="00EC4BDA">
        <w:t>Puetz, S.J., Condie, K.C., 2019. Time series analysis of mantle cycles Part I: Periodicities and correlations among seven global isotopic databases. Geoscience Frontiers 10, 1305-1326.</w:t>
      </w:r>
    </w:p>
    <w:p w:rsidR="00EC4BDA" w:rsidRPr="00EC4BDA" w:rsidRDefault="00EC4BDA" w:rsidP="00EC4BDA">
      <w:pPr>
        <w:pStyle w:val="EndNoteBibliography"/>
        <w:spacing w:after="480"/>
      </w:pPr>
      <w:r w:rsidRPr="00EC4BDA">
        <w:t>Stewart, E.D., Link, P.K., Fanning, C.M., Frost, C.D., McCurry, M., 2010. Paleogeographic implications of non–North American sediment in the Mesoproterozoic upper Belt Supergroup and Lemhi Group, Idaho and Montana, USA. Geology 38, 927–930.</w:t>
      </w:r>
    </w:p>
    <w:p w:rsidR="00EC4BDA" w:rsidRPr="00EC4BDA" w:rsidRDefault="00EC4BDA" w:rsidP="00EC4BDA">
      <w:pPr>
        <w:pStyle w:val="EndNoteBibliography"/>
        <w:spacing w:after="480"/>
      </w:pPr>
      <w:r w:rsidRPr="00EC4BDA">
        <w:t>Sundell, K.E., Macdonald, F.A., in review. Crustal recycling though supercontinent cycles. Science Advances.</w:t>
      </w:r>
    </w:p>
    <w:p w:rsidR="00EC4BDA" w:rsidRPr="00EC4BDA" w:rsidRDefault="00EC4BDA" w:rsidP="00EC4BDA">
      <w:pPr>
        <w:pStyle w:val="EndNoteBibliography"/>
        <w:spacing w:after="480"/>
      </w:pPr>
      <w:r w:rsidRPr="00EC4BDA">
        <w:t>Thomas, W.A., Gehrels, G.E., Greb, S.F., Nadon, G.C., Satkoski, A.M., Romero, M.C., 2017. Detrital zircons and sediment dispersal in the Appalachian foreland. Geosphere 13, 2206-2230.</w:t>
      </w:r>
    </w:p>
    <w:p w:rsidR="00EC4BDA" w:rsidRPr="00EC4BDA" w:rsidRDefault="00EC4BDA" w:rsidP="00EC4BDA">
      <w:pPr>
        <w:pStyle w:val="EndNoteBibliography"/>
      </w:pPr>
      <w:r w:rsidRPr="00EC4BDA">
        <w:t>Wooden, J.L., Barth, A.P., Mueller, P.A., 2013. Crustal growth and tectonic evolution of the Mojave crustal province: Insights from hafnium isotope systematics in zircons. Lithosphere 5, 17-28.</w:t>
      </w:r>
    </w:p>
    <w:p w:rsidR="005F65EF" w:rsidRDefault="00EE2830" w:rsidP="006835EA">
      <w:pPr>
        <w:jc w:val="left"/>
      </w:pPr>
      <w:r>
        <w:fldChar w:fldCharType="end"/>
      </w:r>
    </w:p>
    <w:sectPr w:rsidR="005F65EF" w:rsidSect="00A928B8">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arth Planet Sci Letters&lt;/Style&gt;&lt;LeftDelim&gt;{&lt;/LeftDelim&gt;&lt;RightDelim&gt;}&lt;/RightDelim&gt;&lt;FontName&gt;Times New Roman&lt;/FontName&gt;&lt;FontSize&gt;12&lt;/FontSize&gt;&lt;ReflistTitle&gt;Works Cited&lt;/ReflistTitle&gt;&lt;StartingRefnum&gt;1&lt;/StartingRefnum&gt;&lt;FirstLineIndent&gt;0&lt;/FirstLineIndent&gt;&lt;HangingIndent&gt;720&lt;/HangingIndent&gt;&lt;LineSpacing&gt;0&lt;/LineSpacing&gt;&lt;SpaceAfter&gt;3&lt;/SpaceAfter&gt;&lt;HyperlinksEnabled&gt;0&lt;/HyperlinksEnabled&gt;&lt;HyperlinksVisible&gt;0&lt;/HyperlinksVisible&gt;&lt;EnableBibliographyCategories&gt;0&lt;/EnableBibliographyCategories&gt;&lt;/ENLayout&gt;"/>
    <w:docVar w:name="EN.Libraries" w:val="&lt;Libraries&gt;&lt;item db-id=&quot;0e0e0xzr0atapyev9x15x52wxaddsdwsfest&quot;&gt;Joel EndNote Library-Converted&lt;record-ids&gt;&lt;item&gt;3263&lt;/item&gt;&lt;item&gt;3751&lt;/item&gt;&lt;item&gt;4116&lt;/item&gt;&lt;item&gt;4117&lt;/item&gt;&lt;item&gt;4189&lt;/item&gt;&lt;item&gt;4190&lt;/item&gt;&lt;item&gt;4193&lt;/item&gt;&lt;item&gt;4194&lt;/item&gt;&lt;item&gt;4195&lt;/item&gt;&lt;/record-ids&gt;&lt;/item&gt;&lt;/Libraries&gt;"/>
  </w:docVars>
  <w:rsids>
    <w:rsidRoot w:val="006835EA"/>
    <w:rsid w:val="0002220C"/>
    <w:rsid w:val="000921E3"/>
    <w:rsid w:val="000E5554"/>
    <w:rsid w:val="0015578D"/>
    <w:rsid w:val="00245857"/>
    <w:rsid w:val="002E79F5"/>
    <w:rsid w:val="002F2790"/>
    <w:rsid w:val="00340DEB"/>
    <w:rsid w:val="00372CD7"/>
    <w:rsid w:val="00486332"/>
    <w:rsid w:val="004D3FBC"/>
    <w:rsid w:val="004E2086"/>
    <w:rsid w:val="005D28D0"/>
    <w:rsid w:val="005F65EF"/>
    <w:rsid w:val="006835EA"/>
    <w:rsid w:val="006F012F"/>
    <w:rsid w:val="0070653D"/>
    <w:rsid w:val="00794333"/>
    <w:rsid w:val="008F4D4F"/>
    <w:rsid w:val="00937168"/>
    <w:rsid w:val="00A014C3"/>
    <w:rsid w:val="00A84706"/>
    <w:rsid w:val="00A8616C"/>
    <w:rsid w:val="00A928B8"/>
    <w:rsid w:val="00B15489"/>
    <w:rsid w:val="00B939E0"/>
    <w:rsid w:val="00D913FB"/>
    <w:rsid w:val="00DB66C6"/>
    <w:rsid w:val="00EC0FD0"/>
    <w:rsid w:val="00EC2DE8"/>
    <w:rsid w:val="00EC4BDA"/>
    <w:rsid w:val="00EE2830"/>
    <w:rsid w:val="00F9458F"/>
    <w:rsid w:val="00FF4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C1954"/>
  <w15:chartTrackingRefBased/>
  <w15:docId w15:val="{C7CC7A79-B871-49A4-8C5C-7EF79A7DF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CA"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E2830"/>
    <w:rPr>
      <w:rFonts w:cs="Times New Roman"/>
      <w:noProof/>
      <w:lang w:val="en-US"/>
    </w:rPr>
  </w:style>
  <w:style w:type="character" w:customStyle="1" w:styleId="EndNoteBibliographyTitleChar">
    <w:name w:val="EndNote Bibliography Title Char"/>
    <w:basedOn w:val="DefaultParagraphFont"/>
    <w:link w:val="EndNoteBibliographyTitle"/>
    <w:rsid w:val="00EE2830"/>
    <w:rPr>
      <w:rFonts w:cs="Times New Roman"/>
      <w:noProof/>
      <w:lang w:val="en-US"/>
    </w:rPr>
  </w:style>
  <w:style w:type="paragraph" w:customStyle="1" w:styleId="EndNoteBibliography">
    <w:name w:val="EndNote Bibliography"/>
    <w:basedOn w:val="Normal"/>
    <w:link w:val="EndNoteBibliographyChar"/>
    <w:rsid w:val="00EE2830"/>
    <w:pPr>
      <w:jc w:val="left"/>
    </w:pPr>
    <w:rPr>
      <w:rFonts w:cs="Times New Roman"/>
      <w:noProof/>
      <w:lang w:val="en-US"/>
    </w:rPr>
  </w:style>
  <w:style w:type="character" w:customStyle="1" w:styleId="EndNoteBibliographyChar">
    <w:name w:val="EndNote Bibliography Char"/>
    <w:basedOn w:val="DefaultParagraphFont"/>
    <w:link w:val="EndNoteBibliography"/>
    <w:rsid w:val="00EE2830"/>
    <w:rPr>
      <w:rFonts w:cs="Times New Roman"/>
      <w:noProof/>
      <w:lang w:val="en-US"/>
    </w:rPr>
  </w:style>
  <w:style w:type="paragraph" w:styleId="BalloonText">
    <w:name w:val="Balloon Text"/>
    <w:basedOn w:val="Normal"/>
    <w:link w:val="BalloonTextChar"/>
    <w:uiPriority w:val="99"/>
    <w:semiHidden/>
    <w:unhideWhenUsed/>
    <w:rsid w:val="007065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5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11</Pages>
  <Words>2722</Words>
  <Characters>15517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Saylor</dc:creator>
  <cp:keywords/>
  <dc:description/>
  <cp:lastModifiedBy>Joel Saylor</cp:lastModifiedBy>
  <cp:revision>6</cp:revision>
  <dcterms:created xsi:type="dcterms:W3CDTF">2021-01-16T18:43:00Z</dcterms:created>
  <dcterms:modified xsi:type="dcterms:W3CDTF">2021-01-16T23:21:00Z</dcterms:modified>
</cp:coreProperties>
</file>