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A6105" w14:textId="522F0E70" w:rsidR="00F95EB7" w:rsidRPr="00F95EB7" w:rsidRDefault="00F95EB7" w:rsidP="00F95EB7">
      <w:pPr>
        <w:autoSpaceDE w:val="0"/>
        <w:autoSpaceDN w:val="0"/>
        <w:adjustRightInd w:val="0"/>
        <w:spacing w:before="100" w:beforeAutospacing="1" w:after="100" w:afterAutospacing="1" w:line="360" w:lineRule="auto"/>
        <w:contextualSpacing/>
        <w:jc w:val="center"/>
        <w:rPr>
          <w:rFonts w:asciiTheme="majorBidi" w:hAnsiTheme="majorBidi" w:cstheme="majorBidi"/>
          <w:b/>
          <w:sz w:val="28"/>
          <w:szCs w:val="28"/>
        </w:rPr>
      </w:pPr>
      <w:r w:rsidRPr="00F95EB7">
        <w:rPr>
          <w:rFonts w:asciiTheme="majorBidi" w:hAnsiTheme="majorBidi" w:cstheme="majorBidi"/>
          <w:b/>
          <w:sz w:val="28"/>
          <w:szCs w:val="28"/>
        </w:rPr>
        <w:t>Appendix A: Supplementary Data</w:t>
      </w:r>
    </w:p>
    <w:p w14:paraId="7249B00F" w14:textId="288D3FC2" w:rsidR="00F95EB7" w:rsidRDefault="00F95EB7" w:rsidP="00F95EB7">
      <w:pPr>
        <w:autoSpaceDE w:val="0"/>
        <w:autoSpaceDN w:val="0"/>
        <w:adjustRightInd w:val="0"/>
        <w:spacing w:before="100" w:beforeAutospacing="1" w:after="100" w:afterAutospacing="1" w:line="360" w:lineRule="auto"/>
        <w:rPr>
          <w:rFonts w:asciiTheme="majorBidi" w:hAnsiTheme="majorBidi" w:cstheme="majorBidi"/>
          <w:bCs/>
          <w:sz w:val="24"/>
          <w:szCs w:val="24"/>
        </w:rPr>
      </w:pPr>
      <w:r w:rsidRPr="00F95EB7">
        <w:rPr>
          <w:rFonts w:asciiTheme="majorBidi" w:hAnsiTheme="majorBidi" w:cstheme="majorBidi"/>
          <w:bCs/>
          <w:i/>
          <w:iCs/>
          <w:sz w:val="28"/>
          <w:szCs w:val="28"/>
        </w:rPr>
        <w:t>Methodology</w:t>
      </w:r>
    </w:p>
    <w:p w14:paraId="5668CF76" w14:textId="3EE7ACAD" w:rsidR="00F95EB7" w:rsidRPr="001B1CCF" w:rsidRDefault="00F95EB7" w:rsidP="00F95EB7">
      <w:pPr>
        <w:autoSpaceDE w:val="0"/>
        <w:autoSpaceDN w:val="0"/>
        <w:adjustRightInd w:val="0"/>
        <w:spacing w:before="100" w:beforeAutospacing="1" w:after="100" w:afterAutospacing="1" w:line="360" w:lineRule="auto"/>
        <w:jc w:val="both"/>
        <w:rPr>
          <w:rFonts w:asciiTheme="majorBidi" w:hAnsiTheme="majorBidi" w:cstheme="majorBidi"/>
          <w:bCs/>
          <w:sz w:val="24"/>
          <w:szCs w:val="24"/>
        </w:rPr>
      </w:pPr>
      <w:r w:rsidRPr="007B790D">
        <w:rPr>
          <w:rFonts w:asciiTheme="majorBidi" w:eastAsia="TimesNewRomanPSMT" w:hAnsiTheme="majorBidi" w:cstheme="majorBidi"/>
          <w:i/>
          <w:iCs/>
          <w:sz w:val="24"/>
          <w:szCs w:val="24"/>
        </w:rPr>
        <w:t>Secondary Ion Mass Spectrometry (SIMS).</w:t>
      </w:r>
      <w:r w:rsidR="00AB7ED6">
        <w:rPr>
          <w:rFonts w:asciiTheme="majorBidi" w:eastAsia="TimesNewRomanPSMT" w:hAnsiTheme="majorBidi" w:cstheme="majorBidi"/>
          <w:i/>
          <w:iCs/>
          <w:sz w:val="24"/>
          <w:szCs w:val="24"/>
        </w:rPr>
        <w:t xml:space="preserve"> </w:t>
      </w:r>
      <w:proofErr w:type="gramStart"/>
      <w:r w:rsidRPr="001B1CCF">
        <w:rPr>
          <w:rFonts w:asciiTheme="majorBidi" w:hAnsiTheme="majorBidi" w:cstheme="majorBidi"/>
          <w:bCs/>
          <w:sz w:val="24"/>
          <w:szCs w:val="24"/>
        </w:rPr>
        <w:t>Primary</w:t>
      </w:r>
      <w:proofErr w:type="gramEnd"/>
      <w:r w:rsidRPr="001B1CCF">
        <w:rPr>
          <w:rFonts w:asciiTheme="majorBidi" w:hAnsiTheme="majorBidi" w:cstheme="majorBidi"/>
          <w:bCs/>
          <w:sz w:val="24"/>
          <w:szCs w:val="24"/>
        </w:rPr>
        <w:t xml:space="preserve"> beam conditions utilized 20 keV</w:t>
      </w:r>
      <w:r w:rsidRPr="001B1CCF">
        <w:rPr>
          <w:rFonts w:asciiTheme="majorBidi" w:hAnsiTheme="majorBidi" w:cstheme="majorBidi"/>
          <w:bCs/>
          <w:sz w:val="24"/>
          <w:szCs w:val="24"/>
          <w:vertAlign w:val="superscript"/>
        </w:rPr>
        <w:t>133</w:t>
      </w:r>
      <w:r w:rsidRPr="001B1CCF">
        <w:rPr>
          <w:rFonts w:asciiTheme="majorBidi" w:hAnsiTheme="majorBidi" w:cstheme="majorBidi"/>
          <w:bCs/>
          <w:sz w:val="24"/>
          <w:szCs w:val="24"/>
        </w:rPr>
        <w:t>Cs</w:t>
      </w:r>
      <w:r w:rsidRPr="001B1CCF">
        <w:rPr>
          <w:rFonts w:asciiTheme="majorBidi" w:hAnsiTheme="majorBidi" w:cstheme="majorBidi"/>
          <w:bCs/>
          <w:sz w:val="24"/>
          <w:szCs w:val="24"/>
          <w:vertAlign w:val="superscript"/>
        </w:rPr>
        <w:t>+</w:t>
      </w:r>
      <w:r w:rsidRPr="001B1CCF">
        <w:rPr>
          <w:rFonts w:asciiTheme="majorBidi" w:hAnsiTheme="majorBidi" w:cstheme="majorBidi"/>
          <w:bCs/>
          <w:sz w:val="24"/>
          <w:szCs w:val="24"/>
        </w:rPr>
        <w:t xml:space="preserve"> ions focused to 6 µm and 8 µm diameter, using beam currents of ~0.1 – 0.5 </w:t>
      </w:r>
      <w:proofErr w:type="spellStart"/>
      <w:r w:rsidRPr="001B1CCF">
        <w:rPr>
          <w:rFonts w:asciiTheme="majorBidi" w:hAnsiTheme="majorBidi" w:cstheme="majorBidi"/>
          <w:bCs/>
          <w:sz w:val="24"/>
          <w:szCs w:val="24"/>
        </w:rPr>
        <w:t>nA.</w:t>
      </w:r>
      <w:proofErr w:type="spellEnd"/>
      <w:r w:rsidRPr="001B1CCF">
        <w:rPr>
          <w:rFonts w:asciiTheme="majorBidi" w:hAnsiTheme="majorBidi" w:cstheme="majorBidi"/>
          <w:bCs/>
          <w:sz w:val="24"/>
          <w:szCs w:val="24"/>
        </w:rPr>
        <w:t xml:space="preserve"> Negative secondary ions were extracted through 10 kV to the grounded secondary column (transfer section). Conditions for the transfer section included an entrance slit width of 80 µm, field aperture of 5 x 5 mm, and a field aperture-to-sample magnification of 100×. Automated tuning of the secondary ions in the transfer section preceded each analysis. The energy slit was fully open.  </w:t>
      </w:r>
    </w:p>
    <w:p w14:paraId="0DEBC91F" w14:textId="77777777" w:rsidR="00F95EB7" w:rsidRDefault="00F95EB7" w:rsidP="00F95EB7">
      <w:pPr>
        <w:autoSpaceDE w:val="0"/>
        <w:autoSpaceDN w:val="0"/>
        <w:adjustRightInd w:val="0"/>
        <w:spacing w:before="100" w:beforeAutospacing="1" w:after="100" w:afterAutospacing="1" w:line="360" w:lineRule="auto"/>
        <w:contextualSpacing/>
        <w:jc w:val="both"/>
        <w:rPr>
          <w:rFonts w:asciiTheme="majorBidi" w:hAnsiTheme="majorBidi" w:cstheme="majorBidi"/>
          <w:bCs/>
          <w:sz w:val="24"/>
          <w:szCs w:val="24"/>
        </w:rPr>
      </w:pPr>
      <w:r w:rsidRPr="001B1CCF">
        <w:rPr>
          <w:rFonts w:asciiTheme="majorBidi" w:hAnsiTheme="majorBidi" w:cstheme="majorBidi"/>
          <w:bCs/>
          <w:sz w:val="24"/>
          <w:szCs w:val="24"/>
        </w:rPr>
        <w:t xml:space="preserve">Both </w:t>
      </w:r>
      <w:r w:rsidRPr="001B1CCF">
        <w:rPr>
          <w:rFonts w:asciiTheme="majorBidi" w:hAnsiTheme="majorBidi" w:cstheme="majorBidi"/>
          <w:bCs/>
          <w:sz w:val="24"/>
          <w:szCs w:val="24"/>
          <w:vertAlign w:val="superscript"/>
        </w:rPr>
        <w:t>32</w:t>
      </w:r>
      <w:r w:rsidRPr="001B1CCF">
        <w:rPr>
          <w:rFonts w:asciiTheme="majorBidi" w:hAnsiTheme="majorBidi" w:cstheme="majorBidi"/>
          <w:bCs/>
          <w:sz w:val="24"/>
          <w:szCs w:val="24"/>
        </w:rPr>
        <w:t>S</w:t>
      </w:r>
      <w:r w:rsidRPr="001B1CCF">
        <w:rPr>
          <w:rFonts w:asciiTheme="majorBidi" w:hAnsiTheme="majorBidi" w:cstheme="majorBidi"/>
          <w:bCs/>
          <w:sz w:val="24"/>
          <w:szCs w:val="24"/>
          <w:vertAlign w:val="superscript"/>
        </w:rPr>
        <w:t>-</w:t>
      </w:r>
      <w:r w:rsidRPr="001B1CCF">
        <w:rPr>
          <w:rFonts w:asciiTheme="majorBidi" w:hAnsiTheme="majorBidi" w:cstheme="majorBidi"/>
          <w:bCs/>
          <w:sz w:val="24"/>
          <w:szCs w:val="24"/>
        </w:rPr>
        <w:t xml:space="preserve"> and </w:t>
      </w:r>
      <w:r w:rsidRPr="001B1CCF">
        <w:rPr>
          <w:rFonts w:asciiTheme="majorBidi" w:hAnsiTheme="majorBidi" w:cstheme="majorBidi"/>
          <w:bCs/>
          <w:sz w:val="24"/>
          <w:szCs w:val="24"/>
          <w:vertAlign w:val="superscript"/>
        </w:rPr>
        <w:t>34</w:t>
      </w:r>
      <w:r w:rsidRPr="001B1CCF">
        <w:rPr>
          <w:rFonts w:asciiTheme="majorBidi" w:hAnsiTheme="majorBidi" w:cstheme="majorBidi"/>
          <w:bCs/>
          <w:sz w:val="24"/>
          <w:szCs w:val="24"/>
        </w:rPr>
        <w:t>S</w:t>
      </w:r>
      <w:r w:rsidRPr="001B1CCF">
        <w:rPr>
          <w:rFonts w:asciiTheme="majorBidi" w:hAnsiTheme="majorBidi" w:cstheme="majorBidi"/>
          <w:bCs/>
          <w:sz w:val="24"/>
          <w:szCs w:val="24"/>
          <w:vertAlign w:val="superscript"/>
        </w:rPr>
        <w:t>-</w:t>
      </w:r>
      <w:r w:rsidRPr="001B1CCF">
        <w:rPr>
          <w:rFonts w:asciiTheme="majorBidi" w:hAnsiTheme="majorBidi" w:cstheme="majorBidi"/>
          <w:bCs/>
          <w:sz w:val="24"/>
          <w:szCs w:val="24"/>
        </w:rPr>
        <w:t xml:space="preserve"> were analyzed simultaneously in Faraday cups (L</w:t>
      </w:r>
      <w:r>
        <w:rPr>
          <w:rFonts w:asciiTheme="majorBidi" w:hAnsiTheme="majorBidi" w:cstheme="majorBidi"/>
          <w:bCs/>
          <w:sz w:val="24"/>
          <w:szCs w:val="24"/>
        </w:rPr>
        <w:t>'</w:t>
      </w:r>
      <w:r w:rsidRPr="001B1CCF">
        <w:rPr>
          <w:rFonts w:asciiTheme="majorBidi" w:hAnsiTheme="majorBidi" w:cstheme="majorBidi"/>
          <w:bCs/>
          <w:sz w:val="24"/>
          <w:szCs w:val="24"/>
        </w:rPr>
        <w:t>2 and FC2 using 10</w:t>
      </w:r>
      <w:r w:rsidRPr="001B1CCF">
        <w:rPr>
          <w:rFonts w:asciiTheme="majorBidi" w:hAnsiTheme="majorBidi" w:cstheme="majorBidi"/>
          <w:bCs/>
          <w:sz w:val="24"/>
          <w:szCs w:val="24"/>
          <w:vertAlign w:val="superscript"/>
        </w:rPr>
        <w:t>11</w:t>
      </w:r>
      <w:r w:rsidRPr="001B1CCF">
        <w:rPr>
          <w:rFonts w:asciiTheme="majorBidi" w:hAnsiTheme="majorBidi" w:cstheme="majorBidi"/>
          <w:bCs/>
          <w:sz w:val="24"/>
          <w:szCs w:val="24"/>
        </w:rPr>
        <w:t xml:space="preserve"> Ω amplifier circuits) at mass resolutions of ~2000 and 3500, respectively. Count rates for </w:t>
      </w:r>
      <w:r w:rsidRPr="001B1CCF">
        <w:rPr>
          <w:rFonts w:asciiTheme="majorBidi" w:hAnsiTheme="majorBidi" w:cstheme="majorBidi"/>
          <w:bCs/>
          <w:sz w:val="24"/>
          <w:szCs w:val="24"/>
          <w:vertAlign w:val="superscript"/>
        </w:rPr>
        <w:t>32</w:t>
      </w:r>
      <w:r w:rsidRPr="001B1CCF">
        <w:rPr>
          <w:rFonts w:asciiTheme="majorBidi" w:hAnsiTheme="majorBidi" w:cstheme="majorBidi"/>
          <w:bCs/>
          <w:sz w:val="24"/>
          <w:szCs w:val="24"/>
        </w:rPr>
        <w:t>S</w:t>
      </w:r>
      <w:r w:rsidRPr="001B1CCF">
        <w:rPr>
          <w:rFonts w:asciiTheme="majorBidi" w:hAnsiTheme="majorBidi" w:cstheme="majorBidi"/>
          <w:bCs/>
          <w:sz w:val="24"/>
          <w:szCs w:val="24"/>
          <w:vertAlign w:val="superscript"/>
        </w:rPr>
        <w:t xml:space="preserve">- </w:t>
      </w:r>
      <w:r w:rsidRPr="001B1CCF">
        <w:rPr>
          <w:rFonts w:asciiTheme="majorBidi" w:hAnsiTheme="majorBidi" w:cstheme="majorBidi"/>
          <w:bCs/>
          <w:sz w:val="24"/>
          <w:szCs w:val="24"/>
        </w:rPr>
        <w:t xml:space="preserve">and </w:t>
      </w:r>
      <w:r w:rsidRPr="001B1CCF">
        <w:rPr>
          <w:rFonts w:asciiTheme="majorBidi" w:hAnsiTheme="majorBidi" w:cstheme="majorBidi"/>
          <w:bCs/>
          <w:sz w:val="24"/>
          <w:szCs w:val="24"/>
          <w:vertAlign w:val="superscript"/>
        </w:rPr>
        <w:t>34</w:t>
      </w:r>
      <w:r w:rsidRPr="001B1CCF">
        <w:rPr>
          <w:rFonts w:asciiTheme="majorBidi" w:hAnsiTheme="majorBidi" w:cstheme="majorBidi"/>
          <w:bCs/>
          <w:sz w:val="24"/>
          <w:szCs w:val="24"/>
        </w:rPr>
        <w:t>S</w:t>
      </w:r>
      <w:r w:rsidRPr="001B1CCF">
        <w:rPr>
          <w:rFonts w:asciiTheme="majorBidi" w:hAnsiTheme="majorBidi" w:cstheme="majorBidi"/>
          <w:bCs/>
          <w:sz w:val="24"/>
          <w:szCs w:val="24"/>
          <w:vertAlign w:val="superscript"/>
        </w:rPr>
        <w:t>-</w:t>
      </w:r>
      <w:r w:rsidRPr="001B1CCF">
        <w:rPr>
          <w:rFonts w:asciiTheme="majorBidi" w:hAnsiTheme="majorBidi" w:cstheme="majorBidi"/>
          <w:bCs/>
          <w:sz w:val="24"/>
          <w:szCs w:val="24"/>
        </w:rPr>
        <w:t xml:space="preserve"> ranged from 0.6 – 1.5 x 10</w:t>
      </w:r>
      <w:r w:rsidRPr="001B1CCF">
        <w:rPr>
          <w:rFonts w:asciiTheme="majorBidi" w:hAnsiTheme="majorBidi" w:cstheme="majorBidi"/>
          <w:bCs/>
          <w:sz w:val="24"/>
          <w:szCs w:val="24"/>
          <w:vertAlign w:val="superscript"/>
        </w:rPr>
        <w:t>8</w:t>
      </w:r>
      <w:r w:rsidRPr="001B1CCF">
        <w:rPr>
          <w:rFonts w:asciiTheme="majorBidi" w:hAnsiTheme="majorBidi" w:cstheme="majorBidi"/>
          <w:bCs/>
          <w:sz w:val="24"/>
          <w:szCs w:val="24"/>
        </w:rPr>
        <w:t xml:space="preserve"> counts/s and 3.0 – 6.0 x 10</w:t>
      </w:r>
      <w:r w:rsidRPr="001B1CCF">
        <w:rPr>
          <w:rFonts w:asciiTheme="majorBidi" w:hAnsiTheme="majorBidi" w:cstheme="majorBidi"/>
          <w:bCs/>
          <w:sz w:val="24"/>
          <w:szCs w:val="24"/>
          <w:vertAlign w:val="superscript"/>
        </w:rPr>
        <w:t>6</w:t>
      </w:r>
      <w:r w:rsidRPr="001B1CCF">
        <w:rPr>
          <w:rFonts w:asciiTheme="majorBidi" w:hAnsiTheme="majorBidi" w:cstheme="majorBidi"/>
          <w:bCs/>
          <w:sz w:val="24"/>
          <w:szCs w:val="24"/>
        </w:rPr>
        <w:t xml:space="preserve"> counts/s, respectively, determined over a 60 s total counting interval for each analysis.  The analytical protocol interspersed analyses of unknowns with the pyrite RM in a 4:1 ratio (pyrite S0302A with δ</w:t>
      </w:r>
      <w:r w:rsidRPr="001B1CCF">
        <w:rPr>
          <w:rFonts w:asciiTheme="majorBidi" w:hAnsiTheme="majorBidi" w:cstheme="majorBidi"/>
          <w:bCs/>
          <w:sz w:val="24"/>
          <w:szCs w:val="24"/>
          <w:vertAlign w:val="superscript"/>
        </w:rPr>
        <w:t>34</w:t>
      </w:r>
      <w:r w:rsidRPr="001B1CCF">
        <w:rPr>
          <w:rFonts w:asciiTheme="majorBidi" w:hAnsiTheme="majorBidi" w:cstheme="majorBidi"/>
          <w:bCs/>
          <w:sz w:val="24"/>
          <w:szCs w:val="24"/>
        </w:rPr>
        <w:t>S</w:t>
      </w:r>
      <w:r w:rsidRPr="001B1CCF">
        <w:rPr>
          <w:rFonts w:asciiTheme="majorBidi" w:hAnsiTheme="majorBidi" w:cstheme="majorBidi"/>
          <w:bCs/>
          <w:sz w:val="24"/>
          <w:szCs w:val="24"/>
          <w:vertAlign w:val="subscript"/>
        </w:rPr>
        <w:t>VCDT</w:t>
      </w:r>
      <w:r w:rsidRPr="001B1CCF">
        <w:rPr>
          <w:rFonts w:asciiTheme="majorBidi" w:hAnsiTheme="majorBidi" w:cstheme="majorBidi"/>
          <w:bCs/>
          <w:sz w:val="24"/>
          <w:szCs w:val="24"/>
        </w:rPr>
        <w:t xml:space="preserve"> = 0.0 ±0.2 ‰).</w:t>
      </w:r>
    </w:p>
    <w:p w14:paraId="298F6947" w14:textId="77777777" w:rsidR="007132C9" w:rsidRDefault="007132C9"/>
    <w:sectPr w:rsidR="007132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B7"/>
    <w:rsid w:val="007132C9"/>
    <w:rsid w:val="00AB7ED6"/>
    <w:rsid w:val="00F95EB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A7B2"/>
  <w15:chartTrackingRefBased/>
  <w15:docId w15:val="{3A079060-5BE6-47D5-9F4D-37310CD6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Mastaneh H Liseroudi</dc:creator>
  <cp:keywords/>
  <dc:description/>
  <cp:lastModifiedBy>Mastaneh H Liseroudi</cp:lastModifiedBy>
  <cp:revision>2</cp:revision>
  <dcterms:created xsi:type="dcterms:W3CDTF">2020-09-11T02:57:00Z</dcterms:created>
  <dcterms:modified xsi:type="dcterms:W3CDTF">2020-09-11T02:59:00Z</dcterms:modified>
</cp:coreProperties>
</file>