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5" w:rsidRPr="00261F54" w:rsidRDefault="009219AC" w:rsidP="004A284A">
      <w:pPr>
        <w:rPr>
          <w:b/>
        </w:rPr>
      </w:pPr>
      <w:r w:rsidRPr="00261F54">
        <w:rPr>
          <w:b/>
        </w:rPr>
        <w:t>Table</w:t>
      </w:r>
      <w:r w:rsidR="007B2FA8" w:rsidRPr="00261F54">
        <w:rPr>
          <w:b/>
        </w:rPr>
        <w:t xml:space="preserve"> </w:t>
      </w:r>
      <w:r w:rsidR="005156F3">
        <w:rPr>
          <w:b/>
        </w:rPr>
        <w:t>S1</w:t>
      </w:r>
      <w:bookmarkStart w:id="0" w:name="_GoBack"/>
      <w:bookmarkEnd w:id="0"/>
    </w:p>
    <w:p w:rsidR="00660FB0" w:rsidRPr="004F7AAD" w:rsidRDefault="00660FB0" w:rsidP="008379ED">
      <w:pPr>
        <w:rPr>
          <w:b/>
        </w:rPr>
      </w:pPr>
    </w:p>
    <w:tbl>
      <w:tblPr>
        <w:tblStyle w:val="Rcsostblzat"/>
        <w:tblpPr w:leftFromText="180" w:rightFromText="180" w:vertAnchor="text" w:horzAnchor="margin" w:tblpY="146"/>
        <w:tblW w:w="13252" w:type="dxa"/>
        <w:tblLayout w:type="fixed"/>
        <w:tblLook w:val="04A0" w:firstRow="1" w:lastRow="0" w:firstColumn="1" w:lastColumn="0" w:noHBand="0" w:noVBand="1"/>
      </w:tblPr>
      <w:tblGrid>
        <w:gridCol w:w="1487"/>
        <w:gridCol w:w="992"/>
        <w:gridCol w:w="1559"/>
        <w:gridCol w:w="1134"/>
        <w:gridCol w:w="6989"/>
        <w:gridCol w:w="1091"/>
      </w:tblGrid>
      <w:tr w:rsidR="00746169" w:rsidRPr="00FA5B9F" w:rsidTr="00E449D0">
        <w:trPr>
          <w:trHeight w:val="413"/>
        </w:trPr>
        <w:tc>
          <w:tcPr>
            <w:tcW w:w="1487" w:type="dxa"/>
          </w:tcPr>
          <w:p w:rsidR="00746169" w:rsidRPr="00FA5B9F" w:rsidRDefault="00746169" w:rsidP="00AE00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/>
                <w:sz w:val="20"/>
                <w:szCs w:val="20"/>
              </w:rPr>
              <w:t>Locality</w:t>
            </w:r>
          </w:p>
        </w:tc>
        <w:tc>
          <w:tcPr>
            <w:tcW w:w="992" w:type="dxa"/>
          </w:tcPr>
          <w:p w:rsidR="00746169" w:rsidRPr="00FA5B9F" w:rsidRDefault="00746169" w:rsidP="0039067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  <w:r w:rsidR="00390679">
              <w:rPr>
                <w:rFonts w:asciiTheme="majorBidi" w:hAnsiTheme="majorBidi" w:cstheme="majorBidi"/>
                <w:b/>
                <w:sz w:val="20"/>
                <w:szCs w:val="20"/>
              </w:rPr>
              <w:t>ite</w:t>
            </w:r>
            <w:r w:rsidRPr="00FA5B9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/>
                <w:sz w:val="20"/>
                <w:szCs w:val="20"/>
              </w:rPr>
              <w:t>Coordinates</w:t>
            </w:r>
          </w:p>
        </w:tc>
        <w:tc>
          <w:tcPr>
            <w:tcW w:w="1134" w:type="dxa"/>
          </w:tcPr>
          <w:p w:rsidR="00746169" w:rsidRDefault="00746169" w:rsidP="00AE00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/>
                <w:sz w:val="20"/>
                <w:szCs w:val="20"/>
              </w:rPr>
              <w:t>Elevation</w:t>
            </w:r>
          </w:p>
          <w:p w:rsidR="00746169" w:rsidRPr="00FA5B9F" w:rsidRDefault="00746169" w:rsidP="00AE00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a.s.l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 w:rsidR="00244CB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6989" w:type="dxa"/>
          </w:tcPr>
          <w:p w:rsidR="00746169" w:rsidRPr="00FA5B9F" w:rsidRDefault="001D7A30" w:rsidP="00AE00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Description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/>
                <w:sz w:val="20"/>
                <w:szCs w:val="20"/>
              </w:rPr>
              <w:t>Thickness</w:t>
            </w:r>
          </w:p>
          <w:p w:rsidR="00746169" w:rsidRPr="00FA5B9F" w:rsidRDefault="00746169" w:rsidP="00AE00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/>
                <w:sz w:val="20"/>
                <w:szCs w:val="20"/>
              </w:rPr>
              <w:t>(m)</w:t>
            </w:r>
          </w:p>
        </w:tc>
      </w:tr>
      <w:tr w:rsidR="00746169" w:rsidRPr="00FA5B9F" w:rsidTr="00DD62CD">
        <w:trPr>
          <w:trHeight w:val="692"/>
        </w:trPr>
        <w:tc>
          <w:tcPr>
            <w:tcW w:w="1487" w:type="dxa"/>
            <w:vMerge w:val="restart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46169" w:rsidRPr="00FA5B9F" w:rsidRDefault="00746169" w:rsidP="00AE00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A5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Kurkur</w:t>
            </w:r>
            <w:proofErr w:type="spellEnd"/>
            <w:r w:rsidRPr="00FA5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Oasis</w:t>
            </w:r>
          </w:p>
        </w:tc>
        <w:tc>
          <w:tcPr>
            <w:tcW w:w="992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53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08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”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N  32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03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243  </w:t>
            </w:r>
          </w:p>
        </w:tc>
        <w:tc>
          <w:tcPr>
            <w:tcW w:w="6989" w:type="dxa"/>
          </w:tcPr>
          <w:p w:rsidR="00746169" w:rsidRPr="00FA5B9F" w:rsidRDefault="001D7A30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Deposits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overlying the Nubia Formation (Coniacian-Santonian), below the Sinn El-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Kaddab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Scarp.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utcrop is 50-60 m long and 8-10 m wide, with a linear orientation trending NE-SW. 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4 </w:t>
            </w:r>
          </w:p>
        </w:tc>
      </w:tr>
      <w:tr w:rsidR="00746169" w:rsidRPr="00FA5B9F" w:rsidTr="00DD62CD">
        <w:trPr>
          <w:trHeight w:val="695"/>
        </w:trPr>
        <w:tc>
          <w:tcPr>
            <w:tcW w:w="1487" w:type="dxa"/>
            <w:vMerge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46169" w:rsidRPr="00FA5B9F" w:rsidRDefault="00746169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tabs>
                <w:tab w:val="left" w:pos="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52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04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 32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22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06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746169" w:rsidRPr="00FA5B9F" w:rsidRDefault="00746169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272  </w:t>
            </w:r>
          </w:p>
        </w:tc>
        <w:tc>
          <w:tcPr>
            <w:tcW w:w="6989" w:type="dxa"/>
          </w:tcPr>
          <w:p w:rsidR="00746169" w:rsidRPr="00FA5B9F" w:rsidRDefault="001D7A30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eposits</w:t>
            </w:r>
            <w:r w:rsidR="007461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unconformably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overlie</w:t>
            </w:r>
            <w:r w:rsidR="007461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Dakhla</w:t>
            </w:r>
            <w:proofErr w:type="spellEnd"/>
            <w:r w:rsidR="0074616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Shale (Maastrichtian), along the foot-slope of the Sinn El-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Kaddab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Scarp. They occur in the form of high hillocks or mounds with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stromatolitic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layers occupy an area ~0.5 km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8 </w:t>
            </w:r>
          </w:p>
        </w:tc>
      </w:tr>
      <w:tr w:rsidR="00746169" w:rsidRPr="00FA5B9F" w:rsidTr="00AE00BF">
        <w:trPr>
          <w:trHeight w:val="332"/>
        </w:trPr>
        <w:tc>
          <w:tcPr>
            <w:tcW w:w="1487" w:type="dxa"/>
            <w:vMerge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46169" w:rsidRPr="00FA5B9F" w:rsidRDefault="00746169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52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06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 32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21’ 31.6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746169" w:rsidRPr="00FA5B9F" w:rsidRDefault="00746169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320  </w:t>
            </w:r>
          </w:p>
        </w:tc>
        <w:tc>
          <w:tcPr>
            <w:tcW w:w="6989" w:type="dxa"/>
          </w:tcPr>
          <w:p w:rsidR="00746169" w:rsidRPr="00FA5B9F" w:rsidRDefault="001D7A30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Deposits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on the foot-slope of the Sin El-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Kaddab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Scarp overlying the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Kurkur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 (Paleocene-Early Eocene). 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746169" w:rsidRPr="00FA5B9F" w:rsidTr="00AE00BF">
        <w:tc>
          <w:tcPr>
            <w:tcW w:w="1487" w:type="dxa"/>
            <w:vMerge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46169" w:rsidRPr="00FA5B9F" w:rsidRDefault="00746169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52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’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9.7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32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19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’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746169" w:rsidRPr="00FA5B9F" w:rsidRDefault="00746169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325  </w:t>
            </w:r>
          </w:p>
        </w:tc>
        <w:tc>
          <w:tcPr>
            <w:tcW w:w="6989" w:type="dxa"/>
          </w:tcPr>
          <w:p w:rsidR="00746169" w:rsidRPr="00FA5B9F" w:rsidRDefault="001D7A30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eposits on the slope of Sinn El-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Kaddab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Scarp overlying the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Kurkur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Formation. 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</w:p>
        </w:tc>
      </w:tr>
      <w:tr w:rsidR="00746169" w:rsidRPr="00FA5B9F" w:rsidTr="00AE00BF">
        <w:tc>
          <w:tcPr>
            <w:tcW w:w="1487" w:type="dxa"/>
            <w:vMerge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46169" w:rsidRPr="00FA5B9F" w:rsidRDefault="00746169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52’ 26.5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32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18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’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58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746169" w:rsidRPr="00FA5B9F" w:rsidRDefault="00746169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350  </w:t>
            </w:r>
          </w:p>
        </w:tc>
        <w:tc>
          <w:tcPr>
            <w:tcW w:w="6989" w:type="dxa"/>
          </w:tcPr>
          <w:p w:rsidR="00746169" w:rsidRPr="00FA5B9F" w:rsidRDefault="001D7A30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ighly crystalline 40-50 m thick massive outcrop 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 the 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top of Sinn El-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Kaddab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Scarp overlying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Kurkur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 or the lower beds of the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Garra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 (Lower Eocene). Wind abraded surface is dark grey.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40-50 </w:t>
            </w:r>
          </w:p>
        </w:tc>
      </w:tr>
      <w:tr w:rsidR="00746169" w:rsidRPr="00FA5B9F" w:rsidTr="00AE00BF">
        <w:tc>
          <w:tcPr>
            <w:tcW w:w="1487" w:type="dxa"/>
            <w:vMerge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46169" w:rsidRPr="00FA5B9F" w:rsidRDefault="00746169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53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16.6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32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18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55.2”E</w:t>
            </w:r>
          </w:p>
        </w:tc>
        <w:tc>
          <w:tcPr>
            <w:tcW w:w="1134" w:type="dxa"/>
          </w:tcPr>
          <w:p w:rsidR="00746169" w:rsidRPr="00FA5B9F" w:rsidRDefault="00746169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330  </w:t>
            </w:r>
          </w:p>
        </w:tc>
        <w:tc>
          <w:tcPr>
            <w:tcW w:w="6989" w:type="dxa"/>
          </w:tcPr>
          <w:p w:rsidR="00746169" w:rsidRPr="00FA5B9F" w:rsidRDefault="001D7A30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eposits parallel to inclined laminations bordering floor of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Kurkur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Oasis. 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7-8 </w:t>
            </w:r>
          </w:p>
        </w:tc>
      </w:tr>
      <w:tr w:rsidR="00746169" w:rsidRPr="00FA5B9F" w:rsidTr="00AE00BF">
        <w:tc>
          <w:tcPr>
            <w:tcW w:w="1487" w:type="dxa"/>
            <w:vMerge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46169" w:rsidRPr="00FA5B9F" w:rsidRDefault="00746169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53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’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9.8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 32</w:t>
            </w:r>
            <w:r w:rsidRPr="00FA5B9F">
              <w:rPr>
                <w:rFonts w:asciiTheme="majorBidi" w:eastAsia="Calibri" w:hAnsi="Calibri" w:cstheme="majorBidi"/>
                <w:sz w:val="20"/>
                <w:szCs w:val="20"/>
              </w:rPr>
              <w:t>⁰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17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27.5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746169" w:rsidRPr="00FA5B9F" w:rsidRDefault="00746169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375  </w:t>
            </w:r>
          </w:p>
        </w:tc>
        <w:tc>
          <w:tcPr>
            <w:tcW w:w="6989" w:type="dxa"/>
          </w:tcPr>
          <w:p w:rsidR="00746169" w:rsidRPr="00FA5B9F" w:rsidRDefault="00A87BED" w:rsidP="00AE00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Deposits are</w:t>
            </w:r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unconformable on the </w:t>
            </w:r>
            <w:proofErr w:type="spellStart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>Garra</w:t>
            </w:r>
            <w:proofErr w:type="spellEnd"/>
            <w:r w:rsidR="00746169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 (Lower Eocene) within the plateau. </w:t>
            </w:r>
          </w:p>
        </w:tc>
        <w:tc>
          <w:tcPr>
            <w:tcW w:w="1091" w:type="dxa"/>
          </w:tcPr>
          <w:p w:rsidR="00746169" w:rsidRPr="00FA5B9F" w:rsidRDefault="00746169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6 </w:t>
            </w:r>
          </w:p>
        </w:tc>
      </w:tr>
      <w:tr w:rsidR="006C5D77" w:rsidRPr="00FA5B9F" w:rsidTr="00DD62CD">
        <w:trPr>
          <w:trHeight w:val="565"/>
        </w:trPr>
        <w:tc>
          <w:tcPr>
            <w:tcW w:w="1487" w:type="dxa"/>
          </w:tcPr>
          <w:p w:rsidR="006C5D77" w:rsidRPr="00FA5B9F" w:rsidRDefault="006C5D77" w:rsidP="00A87BE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FA5B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F247A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B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neig</w:t>
            </w:r>
            <w:r w:rsidR="00F247A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B9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</w:t>
            </w:r>
            <w:proofErr w:type="spellEnd"/>
            <w:r w:rsidR="00F60AE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5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Oasis</w:t>
            </w:r>
          </w:p>
        </w:tc>
        <w:tc>
          <w:tcPr>
            <w:tcW w:w="992" w:type="dxa"/>
          </w:tcPr>
          <w:p w:rsidR="006C5D77" w:rsidRPr="00FA5B9F" w:rsidRDefault="00D002E8" w:rsidP="00D002E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5D77" w:rsidRPr="00FA5B9F" w:rsidRDefault="00F03CC9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23° 24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35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>31° 37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23.8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6C5D77" w:rsidRPr="00FA5B9F" w:rsidRDefault="006C5D77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227  </w:t>
            </w:r>
          </w:p>
        </w:tc>
        <w:tc>
          <w:tcPr>
            <w:tcW w:w="6989" w:type="dxa"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Phytohermal</w:t>
            </w:r>
            <w:proofErr w:type="spellEnd"/>
            <w:r w:rsidR="00A87BED">
              <w:rPr>
                <w:rFonts w:asciiTheme="majorBidi" w:hAnsiTheme="majorBidi" w:cstheme="majorBidi"/>
                <w:sz w:val="20"/>
                <w:szCs w:val="20"/>
              </w:rPr>
              <w:t xml:space="preserve"> deposits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unconformable </w:t>
            </w:r>
            <w:r w:rsidR="00A87BED">
              <w:rPr>
                <w:rFonts w:asciiTheme="majorBidi" w:hAnsiTheme="majorBidi" w:cstheme="majorBidi"/>
                <w:sz w:val="20"/>
                <w:szCs w:val="20"/>
              </w:rPr>
              <w:t>resting</w:t>
            </w:r>
            <w:r w:rsidR="00A87BED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on the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Kurkur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 along the slope of Sinn El-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Kaddab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Scarp.</w:t>
            </w:r>
          </w:p>
        </w:tc>
        <w:tc>
          <w:tcPr>
            <w:tcW w:w="1091" w:type="dxa"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3-4</w:t>
            </w:r>
          </w:p>
        </w:tc>
      </w:tr>
      <w:tr w:rsidR="006C5D77" w:rsidRPr="00FA5B9F" w:rsidTr="00F03CC9">
        <w:trPr>
          <w:trHeight w:val="574"/>
        </w:trPr>
        <w:tc>
          <w:tcPr>
            <w:tcW w:w="1487" w:type="dxa"/>
            <w:vMerge w:val="restart"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Gebel El-</w:t>
            </w:r>
            <w:proofErr w:type="spellStart"/>
            <w:r w:rsidRPr="00FA5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Digm</w:t>
            </w:r>
            <w:proofErr w:type="spellEnd"/>
          </w:p>
        </w:tc>
        <w:tc>
          <w:tcPr>
            <w:tcW w:w="992" w:type="dxa"/>
          </w:tcPr>
          <w:p w:rsidR="006C5D77" w:rsidRPr="00FA5B9F" w:rsidRDefault="00D002E8" w:rsidP="00D002E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="00F03CC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6C5D77">
              <w:rPr>
                <w:rFonts w:asciiTheme="majorBidi" w:hAnsiTheme="majorBidi" w:cstheme="majorBidi"/>
                <w:bCs/>
                <w:sz w:val="20"/>
                <w:szCs w:val="20"/>
              </w:rPr>
              <w:t>and</w:t>
            </w:r>
            <w:r w:rsidR="006C5D77"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5D77" w:rsidRPr="00FA5B9F" w:rsidRDefault="00F03CC9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23° 24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51.3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>31° 53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15.2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6C5D77" w:rsidRPr="00FA5B9F" w:rsidRDefault="006C5D77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310  </w:t>
            </w:r>
          </w:p>
        </w:tc>
        <w:tc>
          <w:tcPr>
            <w:tcW w:w="6989" w:type="dxa"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Porous </w:t>
            </w:r>
            <w:r w:rsidR="00A87BED">
              <w:rPr>
                <w:rFonts w:asciiTheme="majorBidi" w:hAnsiTheme="majorBidi" w:cstheme="majorBidi"/>
                <w:sz w:val="20"/>
                <w:szCs w:val="20"/>
              </w:rPr>
              <w:t>deposits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unconformably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overl</w:t>
            </w:r>
            <w:r w:rsidR="00A87BED"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A87BED">
              <w:rPr>
                <w:rFonts w:asciiTheme="majorBidi" w:hAnsiTheme="majorBidi" w:cstheme="majorBidi"/>
                <w:sz w:val="20"/>
                <w:szCs w:val="20"/>
              </w:rPr>
              <w:t>ng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Dakhla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Shale (Maastrichtian).</w:t>
            </w:r>
          </w:p>
        </w:tc>
        <w:tc>
          <w:tcPr>
            <w:tcW w:w="1091" w:type="dxa"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50-60</w:t>
            </w:r>
          </w:p>
        </w:tc>
      </w:tr>
      <w:tr w:rsidR="006C5D77" w:rsidRPr="00FA5B9F" w:rsidTr="00F03CC9">
        <w:trPr>
          <w:trHeight w:val="571"/>
        </w:trPr>
        <w:tc>
          <w:tcPr>
            <w:tcW w:w="1487" w:type="dxa"/>
            <w:vMerge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C5D77" w:rsidRPr="00746169" w:rsidRDefault="00D002E8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5D77" w:rsidRPr="00FA5B9F" w:rsidRDefault="00F03CC9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23° 25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35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>31° 50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25.8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="006C5D77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6C5D77" w:rsidRPr="00FA5B9F" w:rsidRDefault="006C5D77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350  </w:t>
            </w:r>
          </w:p>
        </w:tc>
        <w:tc>
          <w:tcPr>
            <w:tcW w:w="6989" w:type="dxa"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Thin laminated</w:t>
            </w:r>
            <w:r w:rsidR="00A87BED">
              <w:rPr>
                <w:rFonts w:asciiTheme="majorBidi" w:hAnsiTheme="majorBidi" w:cstheme="majorBidi"/>
                <w:sz w:val="20"/>
                <w:szCs w:val="20"/>
              </w:rPr>
              <w:t xml:space="preserve"> deposits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unconformably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overl</w:t>
            </w:r>
            <w:r w:rsidR="00A87BED">
              <w:rPr>
                <w:rFonts w:asciiTheme="majorBidi" w:hAnsiTheme="majorBidi" w:cstheme="majorBidi"/>
                <w:sz w:val="20"/>
                <w:szCs w:val="20"/>
              </w:rPr>
              <w:t>ying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Dakhla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Shale (Maastrichtian).</w:t>
            </w:r>
          </w:p>
        </w:tc>
        <w:tc>
          <w:tcPr>
            <w:tcW w:w="1091" w:type="dxa"/>
          </w:tcPr>
          <w:p w:rsidR="006C5D77" w:rsidRPr="00FA5B9F" w:rsidRDefault="006C5D77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57622E" w:rsidRPr="00FA5B9F" w:rsidTr="00AE00BF">
        <w:trPr>
          <w:trHeight w:val="967"/>
        </w:trPr>
        <w:tc>
          <w:tcPr>
            <w:tcW w:w="1487" w:type="dxa"/>
            <w:vMerge w:val="restart"/>
          </w:tcPr>
          <w:p w:rsidR="0057622E" w:rsidRPr="00FA5B9F" w:rsidRDefault="0057622E" w:rsidP="00AE00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A5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Dungul</w:t>
            </w:r>
            <w:proofErr w:type="spellEnd"/>
            <w:r w:rsidRPr="00FA5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Oasis</w:t>
            </w:r>
          </w:p>
        </w:tc>
        <w:tc>
          <w:tcPr>
            <w:tcW w:w="992" w:type="dxa"/>
          </w:tcPr>
          <w:p w:rsidR="0057622E" w:rsidRPr="00FA5B9F" w:rsidRDefault="0057622E" w:rsidP="00D002E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1 and </w:t>
            </w:r>
            <w:r w:rsidR="00D002E8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03CC9" w:rsidRPr="00FA5B9F" w:rsidRDefault="00F03CC9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23° 25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45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</w:t>
            </w:r>
          </w:p>
          <w:p w:rsidR="0057622E" w:rsidRPr="00FA5B9F" w:rsidRDefault="0057622E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31° 36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26.5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  <w:p w:rsidR="0057622E" w:rsidRPr="00FA5B9F" w:rsidRDefault="0057622E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22E" w:rsidRPr="00FA5B9F" w:rsidRDefault="0057622E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245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57622E" w:rsidRPr="00FA5B9F" w:rsidRDefault="0057622E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9" w:type="dxa"/>
          </w:tcPr>
          <w:p w:rsidR="0057622E" w:rsidRPr="00FA5B9F" w:rsidRDefault="0057622E" w:rsidP="00AE00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Phytohermal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tufa; dark grey to blackish in color, hard, cavernous,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wavy laminated at base, rich in vertical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mammillated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>plant casts and chaotic-order branch’s</w:t>
            </w:r>
            <w:r w:rsidR="007304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moulds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at top. It constitutes small separated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bouldary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hillocks or mounds atop the thin-bedded limestone of the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Kurkur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 (Paleocene-Lower Eocene).</w:t>
            </w:r>
          </w:p>
        </w:tc>
        <w:tc>
          <w:tcPr>
            <w:tcW w:w="1091" w:type="dxa"/>
          </w:tcPr>
          <w:p w:rsidR="0057622E" w:rsidRPr="00FA5B9F" w:rsidRDefault="0057622E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57622E" w:rsidRPr="00FA5B9F" w:rsidTr="00AE00BF">
        <w:trPr>
          <w:trHeight w:val="556"/>
        </w:trPr>
        <w:tc>
          <w:tcPr>
            <w:tcW w:w="1487" w:type="dxa"/>
            <w:vMerge/>
          </w:tcPr>
          <w:p w:rsidR="0057622E" w:rsidRPr="00FA5B9F" w:rsidRDefault="0057622E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22E" w:rsidRPr="00FA5B9F" w:rsidRDefault="00D002E8" w:rsidP="00D002E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  <w:r w:rsidR="0057622E" w:rsidRPr="00FA5B9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and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622E" w:rsidRPr="00FA5B9F" w:rsidRDefault="00F03CC9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23° 26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23.6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 </w:t>
            </w:r>
            <w:r w:rsidR="0057622E" w:rsidRPr="00FA5B9F">
              <w:rPr>
                <w:rFonts w:asciiTheme="majorBidi" w:hAnsiTheme="majorBidi" w:cstheme="majorBidi"/>
                <w:sz w:val="20"/>
                <w:szCs w:val="20"/>
              </w:rPr>
              <w:t>31° 37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="0057622E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23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="0057622E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57622E" w:rsidRPr="00FA5B9F" w:rsidRDefault="0057622E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267  </w:t>
            </w:r>
          </w:p>
        </w:tc>
        <w:tc>
          <w:tcPr>
            <w:tcW w:w="6989" w:type="dxa"/>
          </w:tcPr>
          <w:p w:rsidR="0057622E" w:rsidRPr="00FA5B9F" w:rsidRDefault="0057622E" w:rsidP="00AE00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Thin-bedded tabular tufa; grey, hard,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stromatolitic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vuggy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, porous with no plant remains, overlying the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Kurkur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Fm.</w:t>
            </w:r>
          </w:p>
        </w:tc>
        <w:tc>
          <w:tcPr>
            <w:tcW w:w="1091" w:type="dxa"/>
          </w:tcPr>
          <w:p w:rsidR="0057622E" w:rsidRPr="00FA5B9F" w:rsidRDefault="0057622E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</w:tr>
      <w:tr w:rsidR="0057622E" w:rsidRPr="00FA5B9F" w:rsidTr="00AE00BF">
        <w:tc>
          <w:tcPr>
            <w:tcW w:w="1487" w:type="dxa"/>
            <w:vMerge/>
          </w:tcPr>
          <w:p w:rsidR="0057622E" w:rsidRPr="00FA5B9F" w:rsidRDefault="0057622E" w:rsidP="00AE00B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22E" w:rsidRPr="00FA5B9F" w:rsidRDefault="00D002E8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03CC9" w:rsidRPr="00FA5B9F" w:rsidRDefault="00F03CC9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23°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21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</w:t>
            </w:r>
          </w:p>
          <w:p w:rsidR="0057622E" w:rsidRPr="00FA5B9F" w:rsidRDefault="0057622E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31° 37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51.4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  <w:p w:rsidR="0057622E" w:rsidRPr="00FA5B9F" w:rsidRDefault="0057622E" w:rsidP="00F03C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22E" w:rsidRPr="00FA5B9F" w:rsidRDefault="0057622E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302  </w:t>
            </w:r>
          </w:p>
        </w:tc>
        <w:tc>
          <w:tcPr>
            <w:tcW w:w="6989" w:type="dxa"/>
          </w:tcPr>
          <w:p w:rsidR="0057622E" w:rsidRPr="00FA5B9F" w:rsidRDefault="0057622E" w:rsidP="00AE00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Tufa; grey to yellowish grey in color, massive, hard,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vuggy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>, blocky, no bedding, no plant casts, conglomeratic at the base forming high hillocks on the top surface of the plateau, overlying unconformably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the Lower Eocene </w:t>
            </w:r>
            <w:proofErr w:type="spellStart"/>
            <w:r w:rsidRPr="00FA5B9F">
              <w:rPr>
                <w:rFonts w:asciiTheme="majorBidi" w:hAnsiTheme="majorBidi" w:cstheme="majorBidi"/>
                <w:sz w:val="20"/>
                <w:szCs w:val="20"/>
              </w:rPr>
              <w:t>Garra</w:t>
            </w:r>
            <w:proofErr w:type="spellEnd"/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Formation. </w:t>
            </w:r>
          </w:p>
        </w:tc>
        <w:tc>
          <w:tcPr>
            <w:tcW w:w="1091" w:type="dxa"/>
          </w:tcPr>
          <w:p w:rsidR="0057622E" w:rsidRPr="00FA5B9F" w:rsidRDefault="0057622E" w:rsidP="00AE00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</w:tr>
      <w:tr w:rsidR="00245115" w:rsidRPr="00FA5B9F" w:rsidTr="00AE00BF">
        <w:tc>
          <w:tcPr>
            <w:tcW w:w="1487" w:type="dxa"/>
          </w:tcPr>
          <w:p w:rsidR="00245115" w:rsidRPr="00FA5B9F" w:rsidRDefault="00245115" w:rsidP="0024511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Gebel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Kalabsha</w:t>
            </w:r>
            <w:proofErr w:type="spellEnd"/>
          </w:p>
        </w:tc>
        <w:tc>
          <w:tcPr>
            <w:tcW w:w="992" w:type="dxa"/>
          </w:tcPr>
          <w:p w:rsidR="00245115" w:rsidRPr="00FA5B9F" w:rsidRDefault="00245115" w:rsidP="0056645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45115" w:rsidRPr="00FA5B9F" w:rsidRDefault="00F03CC9" w:rsidP="002451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23°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  <w:r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45115">
              <w:rPr>
                <w:rFonts w:asciiTheme="majorBidi" w:hAnsiTheme="majorBidi" w:cstheme="majorBidi"/>
                <w:sz w:val="20"/>
                <w:szCs w:val="20"/>
              </w:rPr>
              <w:t>32</w:t>
            </w:r>
            <w:r w:rsidR="00245115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° </w:t>
            </w:r>
            <w:r w:rsidR="00245115">
              <w:rPr>
                <w:rFonts w:asciiTheme="majorBidi" w:hAnsiTheme="majorBidi" w:cstheme="majorBidi"/>
                <w:sz w:val="20"/>
                <w:szCs w:val="20"/>
              </w:rPr>
              <w:t>05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’</w:t>
            </w:r>
            <w:r w:rsidR="00245115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45115"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="00054184" w:rsidRPr="00FA5B9F">
              <w:rPr>
                <w:rFonts w:asciiTheme="majorBidi" w:eastAsia="Calibri" w:hAnsiTheme="majorBidi" w:cstheme="majorBidi"/>
                <w:sz w:val="20"/>
                <w:szCs w:val="20"/>
              </w:rPr>
              <w:t>”</w:t>
            </w:r>
            <w:r w:rsidR="00245115" w:rsidRPr="00FA5B9F"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</w:p>
          <w:p w:rsidR="00245115" w:rsidRPr="00FA5B9F" w:rsidRDefault="00245115" w:rsidP="002451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115" w:rsidRPr="00FA5B9F" w:rsidRDefault="00245115" w:rsidP="00244CB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345 </w:t>
            </w:r>
          </w:p>
        </w:tc>
        <w:tc>
          <w:tcPr>
            <w:tcW w:w="6989" w:type="dxa"/>
          </w:tcPr>
          <w:p w:rsidR="00245115" w:rsidRPr="00FA5B9F" w:rsidRDefault="00245115" w:rsidP="002451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Fractures</w:t>
            </w:r>
            <w:r w:rsidRPr="00DF057C">
              <w:rPr>
                <w:rFonts w:asciiTheme="majorBidi" w:hAnsiTheme="majorBidi" w:cstheme="majorBidi"/>
                <w:sz w:val="20"/>
                <w:szCs w:val="20"/>
              </w:rPr>
              <w:t>-filling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calcite.</w:t>
            </w:r>
          </w:p>
        </w:tc>
        <w:tc>
          <w:tcPr>
            <w:tcW w:w="1091" w:type="dxa"/>
          </w:tcPr>
          <w:p w:rsidR="00245115" w:rsidRPr="00FA5B9F" w:rsidRDefault="00245115" w:rsidP="002451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F7AAD" w:rsidRPr="004F7AAD" w:rsidRDefault="004F7AAD" w:rsidP="00507585"/>
    <w:sectPr w:rsidR="004F7AAD" w:rsidRPr="004F7AAD" w:rsidSect="00B77C4E">
      <w:footerReference w:type="default" r:id="rId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CD" w:rsidRDefault="001166CD" w:rsidP="008379ED">
      <w:r>
        <w:separator/>
      </w:r>
    </w:p>
  </w:endnote>
  <w:endnote w:type="continuationSeparator" w:id="0">
    <w:p w:rsidR="001166CD" w:rsidRDefault="001166CD" w:rsidP="008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89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D67" w:rsidRDefault="0064797A">
        <w:pPr>
          <w:pStyle w:val="llb"/>
          <w:jc w:val="center"/>
        </w:pPr>
        <w:r>
          <w:fldChar w:fldCharType="begin"/>
        </w:r>
        <w:r w:rsidR="00202D67">
          <w:instrText xml:space="preserve"> PAGE   \* MERGEFORMAT </w:instrText>
        </w:r>
        <w:r>
          <w:fldChar w:fldCharType="separate"/>
        </w:r>
        <w:r w:rsidR="00515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D67" w:rsidRDefault="00202D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CD" w:rsidRDefault="001166CD" w:rsidP="008379ED">
      <w:r>
        <w:separator/>
      </w:r>
    </w:p>
  </w:footnote>
  <w:footnote w:type="continuationSeparator" w:id="0">
    <w:p w:rsidR="001166CD" w:rsidRDefault="001166CD" w:rsidP="0083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E0"/>
    <w:rsid w:val="000178C0"/>
    <w:rsid w:val="000241EF"/>
    <w:rsid w:val="000313B8"/>
    <w:rsid w:val="00054184"/>
    <w:rsid w:val="00093948"/>
    <w:rsid w:val="0009396D"/>
    <w:rsid w:val="000A23A8"/>
    <w:rsid w:val="000A325B"/>
    <w:rsid w:val="000A68F4"/>
    <w:rsid w:val="000C202F"/>
    <w:rsid w:val="000C605F"/>
    <w:rsid w:val="000D1FDD"/>
    <w:rsid w:val="001125F6"/>
    <w:rsid w:val="001166CD"/>
    <w:rsid w:val="001268AD"/>
    <w:rsid w:val="00141165"/>
    <w:rsid w:val="00142506"/>
    <w:rsid w:val="00142FB2"/>
    <w:rsid w:val="001524AD"/>
    <w:rsid w:val="0017363D"/>
    <w:rsid w:val="00182E4B"/>
    <w:rsid w:val="001B00EF"/>
    <w:rsid w:val="001B1DC8"/>
    <w:rsid w:val="001B722E"/>
    <w:rsid w:val="001D7A30"/>
    <w:rsid w:val="001F1617"/>
    <w:rsid w:val="00202324"/>
    <w:rsid w:val="00202D67"/>
    <w:rsid w:val="00217D53"/>
    <w:rsid w:val="00225A9C"/>
    <w:rsid w:val="0023708D"/>
    <w:rsid w:val="00244CB8"/>
    <w:rsid w:val="00245115"/>
    <w:rsid w:val="002468F2"/>
    <w:rsid w:val="002566AF"/>
    <w:rsid w:val="00261F54"/>
    <w:rsid w:val="00262202"/>
    <w:rsid w:val="002943EB"/>
    <w:rsid w:val="00297265"/>
    <w:rsid w:val="002A17E9"/>
    <w:rsid w:val="002C2227"/>
    <w:rsid w:val="002D46D7"/>
    <w:rsid w:val="002F6FD5"/>
    <w:rsid w:val="00310287"/>
    <w:rsid w:val="00310DED"/>
    <w:rsid w:val="0031457C"/>
    <w:rsid w:val="003212B4"/>
    <w:rsid w:val="00323F96"/>
    <w:rsid w:val="00362C9C"/>
    <w:rsid w:val="003815D0"/>
    <w:rsid w:val="003825A9"/>
    <w:rsid w:val="00390679"/>
    <w:rsid w:val="00392627"/>
    <w:rsid w:val="003A3370"/>
    <w:rsid w:val="003A4D62"/>
    <w:rsid w:val="003A58A9"/>
    <w:rsid w:val="003C3E7D"/>
    <w:rsid w:val="003D7B62"/>
    <w:rsid w:val="004032B7"/>
    <w:rsid w:val="004166CB"/>
    <w:rsid w:val="00420541"/>
    <w:rsid w:val="00424709"/>
    <w:rsid w:val="00427115"/>
    <w:rsid w:val="00452073"/>
    <w:rsid w:val="004677F2"/>
    <w:rsid w:val="0047122B"/>
    <w:rsid w:val="004A20E8"/>
    <w:rsid w:val="004A284A"/>
    <w:rsid w:val="004C6243"/>
    <w:rsid w:val="004C77FA"/>
    <w:rsid w:val="004D04BB"/>
    <w:rsid w:val="004E3451"/>
    <w:rsid w:val="004F17D6"/>
    <w:rsid w:val="004F7AAD"/>
    <w:rsid w:val="00503B4B"/>
    <w:rsid w:val="00504537"/>
    <w:rsid w:val="00507585"/>
    <w:rsid w:val="005156C1"/>
    <w:rsid w:val="005156F3"/>
    <w:rsid w:val="0055501F"/>
    <w:rsid w:val="0056645F"/>
    <w:rsid w:val="0057622E"/>
    <w:rsid w:val="005A29CF"/>
    <w:rsid w:val="005A525A"/>
    <w:rsid w:val="005A6911"/>
    <w:rsid w:val="005B461B"/>
    <w:rsid w:val="005B63AE"/>
    <w:rsid w:val="005C24F3"/>
    <w:rsid w:val="005C2CF5"/>
    <w:rsid w:val="005C7C7D"/>
    <w:rsid w:val="005E2868"/>
    <w:rsid w:val="00601F90"/>
    <w:rsid w:val="00625A54"/>
    <w:rsid w:val="00631498"/>
    <w:rsid w:val="00634BE0"/>
    <w:rsid w:val="00641E77"/>
    <w:rsid w:val="0064797A"/>
    <w:rsid w:val="0066014E"/>
    <w:rsid w:val="00660FB0"/>
    <w:rsid w:val="006661A9"/>
    <w:rsid w:val="0069587F"/>
    <w:rsid w:val="006C5D77"/>
    <w:rsid w:val="006E26F2"/>
    <w:rsid w:val="006F608C"/>
    <w:rsid w:val="0070136E"/>
    <w:rsid w:val="00701CD0"/>
    <w:rsid w:val="0071290D"/>
    <w:rsid w:val="00721603"/>
    <w:rsid w:val="007242F3"/>
    <w:rsid w:val="00730440"/>
    <w:rsid w:val="00746169"/>
    <w:rsid w:val="0075728D"/>
    <w:rsid w:val="007738D3"/>
    <w:rsid w:val="00773BE9"/>
    <w:rsid w:val="007A4104"/>
    <w:rsid w:val="007B2FA8"/>
    <w:rsid w:val="007C3C26"/>
    <w:rsid w:val="007C5991"/>
    <w:rsid w:val="00806E71"/>
    <w:rsid w:val="008072B1"/>
    <w:rsid w:val="008214DF"/>
    <w:rsid w:val="008379ED"/>
    <w:rsid w:val="00867965"/>
    <w:rsid w:val="00890BCC"/>
    <w:rsid w:val="00890F3D"/>
    <w:rsid w:val="008A3767"/>
    <w:rsid w:val="008B225B"/>
    <w:rsid w:val="008D1D63"/>
    <w:rsid w:val="008D24CA"/>
    <w:rsid w:val="008D2F79"/>
    <w:rsid w:val="008D3B5B"/>
    <w:rsid w:val="00900A34"/>
    <w:rsid w:val="009141CF"/>
    <w:rsid w:val="00917FC8"/>
    <w:rsid w:val="009219AC"/>
    <w:rsid w:val="009233B6"/>
    <w:rsid w:val="00946B8B"/>
    <w:rsid w:val="00954D9D"/>
    <w:rsid w:val="009550E5"/>
    <w:rsid w:val="00980A33"/>
    <w:rsid w:val="00980F13"/>
    <w:rsid w:val="0099554C"/>
    <w:rsid w:val="009B32AE"/>
    <w:rsid w:val="009C6FC7"/>
    <w:rsid w:val="009F205F"/>
    <w:rsid w:val="00A00EE2"/>
    <w:rsid w:val="00A41E09"/>
    <w:rsid w:val="00A4331A"/>
    <w:rsid w:val="00A468FE"/>
    <w:rsid w:val="00A50B23"/>
    <w:rsid w:val="00A72B08"/>
    <w:rsid w:val="00A736D9"/>
    <w:rsid w:val="00A87BCD"/>
    <w:rsid w:val="00A87BED"/>
    <w:rsid w:val="00AB2883"/>
    <w:rsid w:val="00AD69BE"/>
    <w:rsid w:val="00AE00BF"/>
    <w:rsid w:val="00AE1C48"/>
    <w:rsid w:val="00AF4C62"/>
    <w:rsid w:val="00B1248E"/>
    <w:rsid w:val="00B15291"/>
    <w:rsid w:val="00B1711D"/>
    <w:rsid w:val="00B51FFB"/>
    <w:rsid w:val="00B539A9"/>
    <w:rsid w:val="00B55335"/>
    <w:rsid w:val="00B77C4E"/>
    <w:rsid w:val="00B81D31"/>
    <w:rsid w:val="00B929C2"/>
    <w:rsid w:val="00B940F4"/>
    <w:rsid w:val="00B953E6"/>
    <w:rsid w:val="00BC34CA"/>
    <w:rsid w:val="00BE1FA4"/>
    <w:rsid w:val="00BE362C"/>
    <w:rsid w:val="00BE57AE"/>
    <w:rsid w:val="00BF0116"/>
    <w:rsid w:val="00BF072C"/>
    <w:rsid w:val="00BF47BA"/>
    <w:rsid w:val="00BF6287"/>
    <w:rsid w:val="00C168E1"/>
    <w:rsid w:val="00C25DA9"/>
    <w:rsid w:val="00C33020"/>
    <w:rsid w:val="00C46625"/>
    <w:rsid w:val="00C46B40"/>
    <w:rsid w:val="00C54B13"/>
    <w:rsid w:val="00C94504"/>
    <w:rsid w:val="00CB03F9"/>
    <w:rsid w:val="00CB2CCC"/>
    <w:rsid w:val="00CC7A02"/>
    <w:rsid w:val="00CD7456"/>
    <w:rsid w:val="00CF651E"/>
    <w:rsid w:val="00D002E8"/>
    <w:rsid w:val="00D102D9"/>
    <w:rsid w:val="00D110AF"/>
    <w:rsid w:val="00D3645C"/>
    <w:rsid w:val="00D37FC1"/>
    <w:rsid w:val="00D503D0"/>
    <w:rsid w:val="00D52F20"/>
    <w:rsid w:val="00D57C75"/>
    <w:rsid w:val="00D666CF"/>
    <w:rsid w:val="00D67FA2"/>
    <w:rsid w:val="00D869BC"/>
    <w:rsid w:val="00D918AA"/>
    <w:rsid w:val="00DB4F87"/>
    <w:rsid w:val="00DD62CD"/>
    <w:rsid w:val="00DE47BB"/>
    <w:rsid w:val="00DF057C"/>
    <w:rsid w:val="00DF2593"/>
    <w:rsid w:val="00DF44E0"/>
    <w:rsid w:val="00DF48E7"/>
    <w:rsid w:val="00DF65F1"/>
    <w:rsid w:val="00E2431E"/>
    <w:rsid w:val="00E30B32"/>
    <w:rsid w:val="00E32184"/>
    <w:rsid w:val="00E36577"/>
    <w:rsid w:val="00E449D0"/>
    <w:rsid w:val="00E555AF"/>
    <w:rsid w:val="00E55ED7"/>
    <w:rsid w:val="00E70018"/>
    <w:rsid w:val="00E956B1"/>
    <w:rsid w:val="00EB2F77"/>
    <w:rsid w:val="00EC04C3"/>
    <w:rsid w:val="00EF50FA"/>
    <w:rsid w:val="00F00D79"/>
    <w:rsid w:val="00F01446"/>
    <w:rsid w:val="00F03CC9"/>
    <w:rsid w:val="00F11054"/>
    <w:rsid w:val="00F1359E"/>
    <w:rsid w:val="00F238AF"/>
    <w:rsid w:val="00F247AD"/>
    <w:rsid w:val="00F60AE0"/>
    <w:rsid w:val="00F615E4"/>
    <w:rsid w:val="00F86679"/>
    <w:rsid w:val="00F95BAD"/>
    <w:rsid w:val="00FA5B9F"/>
    <w:rsid w:val="00FB22A8"/>
    <w:rsid w:val="00FC7C6B"/>
    <w:rsid w:val="00FD06A8"/>
    <w:rsid w:val="00FD1BE0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EC897"/>
  <w15:docId w15:val="{6BC923EB-05D2-43E8-A4CD-D47C2FD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9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79ED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379ED"/>
  </w:style>
  <w:style w:type="paragraph" w:styleId="llb">
    <w:name w:val="footer"/>
    <w:basedOn w:val="Norml"/>
    <w:link w:val="llbChar"/>
    <w:uiPriority w:val="99"/>
    <w:unhideWhenUsed/>
    <w:rsid w:val="008379ED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379ED"/>
  </w:style>
  <w:style w:type="paragraph" w:styleId="Buborkszveg">
    <w:name w:val="Balloon Text"/>
    <w:basedOn w:val="Norml"/>
    <w:link w:val="BuborkszvegChar"/>
    <w:uiPriority w:val="99"/>
    <w:semiHidden/>
    <w:unhideWhenUsed/>
    <w:rsid w:val="001D7A30"/>
    <w:rPr>
      <w:rFonts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A30"/>
    <w:rPr>
      <w:rFonts w:cs="Times New Roman"/>
      <w:sz w:val="18"/>
      <w:szCs w:val="18"/>
    </w:rPr>
  </w:style>
  <w:style w:type="paragraph" w:styleId="Vltozat">
    <w:name w:val="Revision"/>
    <w:hidden/>
    <w:uiPriority w:val="99"/>
    <w:semiHidden/>
    <w:rsid w:val="00DD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Sándor</cp:lastModifiedBy>
  <cp:revision>7</cp:revision>
  <cp:lastPrinted>2017-03-01T21:08:00Z</cp:lastPrinted>
  <dcterms:created xsi:type="dcterms:W3CDTF">2020-10-20T11:40:00Z</dcterms:created>
  <dcterms:modified xsi:type="dcterms:W3CDTF">2020-12-08T10:08:00Z</dcterms:modified>
</cp:coreProperties>
</file>