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AD" w:rsidRPr="00657494" w:rsidRDefault="0090799B" w:rsidP="00F93293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657494">
        <w:rPr>
          <w:rFonts w:ascii="Times New Roman" w:hAnsi="Times New Roman" w:cs="Times New Roman"/>
          <w:sz w:val="32"/>
        </w:rPr>
        <w:t xml:space="preserve">Supplementary </w:t>
      </w:r>
      <w:r w:rsidR="00241169" w:rsidRPr="00657494">
        <w:rPr>
          <w:rFonts w:ascii="Times New Roman" w:hAnsi="Times New Roman" w:cs="Times New Roman"/>
          <w:sz w:val="32"/>
        </w:rPr>
        <w:t>Material</w:t>
      </w:r>
      <w:r w:rsidRPr="00657494">
        <w:rPr>
          <w:rFonts w:ascii="Times New Roman" w:hAnsi="Times New Roman" w:cs="Times New Roman"/>
          <w:sz w:val="32"/>
        </w:rPr>
        <w:t xml:space="preserve"> </w:t>
      </w:r>
    </w:p>
    <w:p w:rsidR="0090799B" w:rsidRPr="00657494" w:rsidRDefault="0090799B" w:rsidP="00F93293">
      <w:pPr>
        <w:jc w:val="both"/>
        <w:rPr>
          <w:rFonts w:ascii="Times New Roman" w:hAnsi="Times New Roman" w:cs="Times New Roman"/>
          <w:sz w:val="32"/>
        </w:rPr>
      </w:pPr>
    </w:p>
    <w:p w:rsidR="001D5910" w:rsidRPr="00657494" w:rsidRDefault="001D5910" w:rsidP="00F93293">
      <w:pPr>
        <w:jc w:val="both"/>
        <w:rPr>
          <w:rFonts w:ascii="Times New Roman" w:hAnsi="Times New Roman" w:cs="Times New Roman"/>
          <w:b/>
          <w:sz w:val="24"/>
        </w:rPr>
      </w:pPr>
      <w:r w:rsidRPr="00657494">
        <w:rPr>
          <w:rFonts w:ascii="Times New Roman" w:hAnsi="Times New Roman" w:cs="Times New Roman"/>
          <w:b/>
          <w:sz w:val="24"/>
        </w:rPr>
        <w:t>Laboratory analytical procedures.</w:t>
      </w:r>
    </w:p>
    <w:p w:rsidR="001D5910" w:rsidRPr="00AF7D44" w:rsidRDefault="001D5910" w:rsidP="00F9329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7D44">
        <w:rPr>
          <w:rFonts w:ascii="Times New Roman" w:hAnsi="Times New Roman" w:cs="Times New Roman"/>
          <w:sz w:val="24"/>
        </w:rPr>
        <w:t xml:space="preserve">(U-Th)/He on </w:t>
      </w:r>
      <w:proofErr w:type="spellStart"/>
      <w:r w:rsidRPr="00AF7D44">
        <w:rPr>
          <w:rFonts w:ascii="Times New Roman" w:hAnsi="Times New Roman" w:cs="Times New Roman"/>
          <w:sz w:val="24"/>
        </w:rPr>
        <w:t>apatites</w:t>
      </w:r>
      <w:proofErr w:type="spellEnd"/>
      <w:r w:rsidRPr="00AF7D44">
        <w:rPr>
          <w:rFonts w:ascii="Times New Roman" w:hAnsi="Times New Roman" w:cs="Times New Roman"/>
          <w:sz w:val="24"/>
        </w:rPr>
        <w:t xml:space="preserve"> at </w:t>
      </w:r>
      <w:proofErr w:type="spellStart"/>
      <w:r w:rsidRPr="00AF7D44">
        <w:rPr>
          <w:rFonts w:ascii="Times New Roman" w:hAnsi="Times New Roman" w:cs="Times New Roman"/>
          <w:sz w:val="24"/>
        </w:rPr>
        <w:t>Université</w:t>
      </w:r>
      <w:proofErr w:type="spellEnd"/>
      <w:r w:rsidRPr="00AF7D44">
        <w:rPr>
          <w:rFonts w:ascii="Times New Roman" w:hAnsi="Times New Roman" w:cs="Times New Roman"/>
          <w:sz w:val="24"/>
        </w:rPr>
        <w:t xml:space="preserve"> Paris </w:t>
      </w:r>
      <w:proofErr w:type="spellStart"/>
      <w:r w:rsidRPr="00AF7D44">
        <w:rPr>
          <w:rFonts w:ascii="Times New Roman" w:hAnsi="Times New Roman" w:cs="Times New Roman"/>
          <w:sz w:val="24"/>
        </w:rPr>
        <w:t>Saclay</w:t>
      </w:r>
      <w:proofErr w:type="spellEnd"/>
      <w:r w:rsidRPr="00AF7D44">
        <w:rPr>
          <w:rFonts w:ascii="Times New Roman" w:hAnsi="Times New Roman" w:cs="Times New Roman"/>
          <w:sz w:val="24"/>
        </w:rPr>
        <w:t>.</w:t>
      </w:r>
    </w:p>
    <w:p w:rsidR="00AF7D44" w:rsidRPr="00AF7D44" w:rsidRDefault="001D5910" w:rsidP="00AF7D44">
      <w:pPr>
        <w:spacing w:after="0" w:line="360" w:lineRule="auto"/>
        <w:jc w:val="both"/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</w:pP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Apatite crystals were carefully selected for 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AHe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dating based on size, morphology, and on the absence of any optically detectable inclusion. Single crystals 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AHe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analysis were carried out at the GEOPS laboratory (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Université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Paris 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Saclay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, France). Crystal dimensions were evaluated under a binocular microscope, and equivalent sphere radii (Rs) were calculated to represent the He diffusion domain (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e.g.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instrText xml:space="preserve"> ADDIN EN.CITE &lt;EndNote&gt;&lt;Cite AuthorYear="1"&gt;&lt;Author&gt;Gautheron&lt;/Author&gt;&lt;Year&gt;2010&lt;/Year&gt;&lt;RecNum&gt;736&lt;/RecNum&gt;&lt;DisplayText&gt;Gautheron and Tassan-Got (2010)&lt;/DisplayText&gt;&lt;record&gt;&lt;rec-number&gt;736&lt;/rec-number&gt;&lt;foreign-keys&gt;&lt;key app="EN" db-id="22etxz0w4vp0v3exfs4pfx5cz50rett2ds0s" timestamp="1583155588"&gt;736&lt;/key&gt;&lt;/foreign-keys&gt;&lt;ref-type name="Journal Article"&gt;17&lt;/ref-type&gt;&lt;contributors&gt;&lt;authors&gt;&lt;author&gt;Gautheron, Cécile&lt;/author&gt;&lt;author&gt;Tassan-Got, Laurent&lt;/author&gt;&lt;/authors&gt;&lt;/contributors&gt;&lt;titles&gt;&lt;title&gt;A Monte Carlo approach to diffusion applied to noble gas/helium thermochronology&lt;/title&gt;&lt;secondary-title&gt;Chemical Geology&lt;/secondary-title&gt;&lt;/titles&gt;&lt;periodical&gt;&lt;full-title&gt;Chemical Geology&lt;/full-title&gt;&lt;/periodical&gt;&lt;pages&gt;212-224&lt;/pages&gt;&lt;volume&gt;273&lt;/volume&gt;&lt;number&gt;3-4&lt;/number&gt;&lt;dates&gt;&lt;year&gt;2010&lt;/year&gt;&lt;/dates&gt;&lt;isbn&gt;0009-2541&lt;/isbn&gt;&lt;urls&gt;&lt;/urls&gt;&lt;/record&gt;&lt;/Cite&gt;&lt;/EndNote&gt;</w:instrTex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Pr="00AF7D44">
        <w:rPr>
          <w:rFonts w:ascii="Times New Roman" w:hAnsi="Times New Roman" w:cs="Times New Roman"/>
          <w:noProof/>
          <w:sz w:val="24"/>
          <w14:textOutline w14:w="0" w14:cap="flat" w14:cmpd="sng" w14:algn="ctr">
            <w14:noFill/>
            <w14:prstDash w14:val="solid"/>
            <w14:bevel/>
          </w14:textOutline>
        </w:rPr>
        <w:t>Gautheron and Tassan-Got (2010)</w: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). Ejection factors (FT) were determined using Monte Carlo simulation </w: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instrText xml:space="preserve"> ADDIN EN.CITE &lt;EndNote&gt;&lt;Cite&gt;&lt;Author&gt;Ketcham&lt;/Author&gt;&lt;Year&gt;2011&lt;/Year&gt;&lt;RecNum&gt;401&lt;/RecNum&gt;&lt;DisplayText&gt;(Gautheron et al., 2012; Ketcham et al., 2011)&lt;/DisplayText&gt;&lt;record&gt;&lt;rec-number&gt;401&lt;/rec-number&gt;&lt;foreign-keys&gt;&lt;key app="EN" db-id="22etxz0w4vp0v3exfs4pfx5cz50rett2ds0s" timestamp="1572949513"&gt;401&lt;/key&gt;&lt;/foreign-keys&gt;&lt;ref-type name="Journal Article"&gt;17&lt;/ref-type&gt;&lt;contributors&gt;&lt;authors&gt;&lt;author&gt;Ketcham, R.A.&lt;/author&gt;&lt;author&gt;Gautheron, C.&lt;/author&gt;&lt;author&gt;Tassan-Got, L.&lt;/author&gt;&lt;/authors&gt;&lt;/contributors&gt;&lt;titles&gt;&lt;title&gt;Accounting for long alpha-particle stopping distances in (U–Th–Sm)/He geochronology: Refinement of the baseline case&lt;/title&gt;&lt;secondary-title&gt;Geochemica et Cosmochimica Acta&lt;/secondary-title&gt;&lt;/titles&gt;&lt;periodical&gt;&lt;full-title&gt;Geochemica et Cosmochimica Acta&lt;/full-title&gt;&lt;/periodical&gt;&lt;pages&gt;7779-7791&lt;/pages&gt;&lt;volume&gt;75&lt;/volume&gt;&lt;dates&gt;&lt;year&gt;2011&lt;/year&gt;&lt;/dates&gt;&lt;urls&gt;&lt;/urls&gt;&lt;/record&gt;&lt;/Cite&gt;&lt;Cite&gt;&lt;Author&gt;Gautheron&lt;/Author&gt;&lt;Year&gt;2012&lt;/Year&gt;&lt;RecNum&gt;737&lt;/RecNum&gt;&lt;record&gt;&lt;rec-number&gt;737&lt;/rec-number&gt;&lt;foreign-keys&gt;&lt;key app="EN" db-id="22etxz0w4vp0v3exfs4pfx5cz50rett2ds0s" timestamp="1583155698"&gt;737&lt;/key&gt;&lt;/foreign-keys&gt;&lt;ref-type name="Journal Article"&gt;17&lt;/ref-type&gt;&lt;contributors&gt;&lt;authors&gt;&lt;author&gt;Gautheron, Cécile&lt;/author&gt;&lt;author&gt;Tassan-Got, Laurent&lt;/author&gt;&lt;author&gt;Ketcham, Richard A&lt;/author&gt;&lt;author&gt;Dobson, Katherine J&lt;/author&gt;&lt;/authors&gt;&lt;/contributors&gt;&lt;titles&gt;&lt;title&gt;Accounting for long alpha-particle stopping distances in (U–Th–Sm)/He geochronology: 3D modeling of diffusion, zoning, implantation, and abrasion&lt;/title&gt;&lt;secondary-title&gt;Geochimica et Cosmochimica Acta&lt;/secondary-title&gt;&lt;/titles&gt;&lt;periodical&gt;&lt;full-title&gt;Geochimica et Cosmochimica Acta&lt;/full-title&gt;&lt;abbr-1&gt;Geochim. Cosmochim. Acta&lt;/abbr-1&gt;&lt;/periodical&gt;&lt;pages&gt;44-56&lt;/pages&gt;&lt;volume&gt;96&lt;/volume&gt;&lt;dates&gt;&lt;year&gt;2012&lt;/year&gt;&lt;/dates&gt;&lt;isbn&gt;0016-7037&lt;/isbn&gt;&lt;urls&gt;&lt;/urls&gt;&lt;/record&gt;&lt;/Cite&gt;&lt;/EndNote&gt;</w:instrTex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Pr="00AF7D44">
        <w:rPr>
          <w:rFonts w:ascii="Times New Roman" w:hAnsi="Times New Roman" w:cs="Times New Roman"/>
          <w:noProof/>
          <w:sz w:val="24"/>
          <w14:textOutline w14:w="0" w14:cap="flat" w14:cmpd="sng" w14:algn="ctr">
            <w14:noFill/>
            <w14:prstDash w14:val="solid"/>
            <w14:bevel/>
          </w14:textOutline>
        </w:rPr>
        <w:t>(Gautheron et al., 2012; Ketcham et al., 2011)</w: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. Individual crystals were placed in a 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platinium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baskets that were heated twice using a diode laser at 1030±50°C for 5 min, to allow total He </w:t>
      </w:r>
      <w:proofErr w:type="gram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degassing</w:t>
      </w:r>
      <w:proofErr w:type="gram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and to check the presence of He trapped in small inclusions. Samples with a second reheating gas level higher than the blank level at more than 5% are discarded from this study. The </w:t>
      </w:r>
      <w:r w:rsidRPr="00AF7D44">
        <w:rPr>
          <w:rFonts w:ascii="Times New Roman" w:hAnsi="Times New Roman" w:cs="Times New Roman"/>
          <w:sz w:val="24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He content was determined by comparison with a known </w:t>
      </w:r>
      <w:r w:rsidRPr="00AF7D44">
        <w:rPr>
          <w:rFonts w:ascii="Times New Roman" w:hAnsi="Times New Roman" w:cs="Times New Roman"/>
          <w:sz w:val="24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He spike for the samples analyzed using a 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prisma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quadrupole. After He extraction, platinum baskets were placed into single-use polypropylene vials. Apatite grains were dissolved for 1 h at 90°C in a 50 ml HNO3 solution containing a known amount of 235U, 230Th and 149Sm, and then filled with 1 ml of ultrapure MQ water. The final solution was measured for U, Th and 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Sm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concentrations by quadrupole ICP-QMS (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seriesII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CCT Thermo-Electron at LSCE (Gif sur Yvette; France)). A procedure similar to </w: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begin"/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instrText xml:space="preserve"> ADDIN EN.CITE &lt;EndNote&gt;&lt;Cite AuthorYear="1"&gt;&lt;Author&gt;Evans&lt;/Author&gt;&lt;Year&gt;2005&lt;/Year&gt;&lt;RecNum&gt;133&lt;/RecNum&gt;&lt;DisplayText&gt;Evans et al. (2005)&lt;/DisplayText&gt;&lt;record&gt;&lt;rec-number&gt;133&lt;/rec-number&gt;&lt;foreign-keys&gt;&lt;key app="EN" db-id="22etxz0w4vp0v3exfs4pfx5cz50rett2ds0s" timestamp="1572949512"&gt;133&lt;/key&gt;&lt;/foreign-keys&gt;&lt;ref-type name="Journal Article"&gt;17&lt;/ref-type&gt;&lt;contributors&gt;&lt;authors&gt;&lt;author&gt;Evans, N. J.&lt;/author&gt;&lt;author&gt;Byrne, J. P.&lt;/author&gt;&lt;author&gt;Keegan, J. T.&lt;/author&gt;&lt;author&gt;Dotter, L.E.&lt;/author&gt;&lt;/authors&gt;&lt;/contributors&gt;&lt;titles&gt;&lt;title&gt;Determination of Uranium and Thorium in Zircon, Apatite,and Fluorite: Application to Laser (U–Th)/He Thermochronology&amp;#xD;&lt;/title&gt;&lt;secondary-title&gt;Journal of Analytical Chemistry&lt;/secondary-title&gt;&lt;/titles&gt;&lt;periodical&gt;&lt;full-title&gt;Journal of Analytical Chemistry&lt;/full-title&gt;&lt;/periodical&gt;&lt;pages&gt;1159-1165&lt;/pages&gt;&lt;volume&gt;60&lt;/volume&gt;&lt;number&gt;12&lt;/number&gt;&lt;dates&gt;&lt;year&gt;2005&lt;/year&gt;&lt;/dates&gt;&lt;urls&gt;&lt;/urls&gt;&lt;/record&gt;&lt;/Cite&gt;&lt;/EndNote&gt;</w:instrTex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separate"/>
      </w:r>
      <w:r w:rsidRPr="00AF7D44">
        <w:rPr>
          <w:rFonts w:ascii="Times New Roman" w:hAnsi="Times New Roman" w:cs="Times New Roman"/>
          <w:noProof/>
          <w:sz w:val="24"/>
          <w14:textOutline w14:w="0" w14:cap="flat" w14:cmpd="sng" w14:algn="ctr">
            <w14:noFill/>
            <w14:prstDash w14:val="solid"/>
            <w14:bevel/>
          </w14:textOutline>
        </w:rPr>
        <w:t>Evans et al. (2005)</w:t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for the determination of the U and Th content was followed and the results for </w:t>
      </w:r>
      <w:r w:rsidRPr="00AF7D44">
        <w:rPr>
          <w:rFonts w:ascii="Times New Roman" w:hAnsi="Times New Roman" w:cs="Times New Roman"/>
          <w:sz w:val="24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AF7D44"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He.</w:t>
      </w:r>
    </w:p>
    <w:p w:rsidR="00AF7D44" w:rsidRDefault="00AF7D44" w:rsidP="00AF7D44">
      <w:pPr>
        <w:spacing w:after="0" w:line="360" w:lineRule="auto"/>
        <w:jc w:val="both"/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bevel/>
          </w14:textOutline>
        </w:rPr>
      </w:pPr>
    </w:p>
    <w:p w:rsidR="001D5910" w:rsidRPr="00AF7D44" w:rsidRDefault="001D5910" w:rsidP="00AF7D4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</w:pPr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(U-Th)/He on zircons and </w:t>
      </w:r>
      <w:proofErr w:type="spellStart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apatites</w:t>
      </w:r>
      <w:proofErr w:type="spellEnd"/>
      <w:r w:rsidRPr="00AF7D44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 xml:space="preserve"> in CRPG Nancy</w:t>
      </w:r>
    </w:p>
    <w:p w:rsidR="00241169" w:rsidRPr="00657494" w:rsidRDefault="00241169" w:rsidP="00F93293">
      <w:pPr>
        <w:pStyle w:val="NormalWeb"/>
        <w:spacing w:line="360" w:lineRule="auto"/>
        <w:jc w:val="both"/>
      </w:pPr>
      <w:r w:rsidRPr="00657494">
        <w:t xml:space="preserve">Part of the </w:t>
      </w:r>
      <w:proofErr w:type="spellStart"/>
      <w:r w:rsidRPr="00657494">
        <w:t>AHe</w:t>
      </w:r>
      <w:proofErr w:type="spellEnd"/>
      <w:r w:rsidRPr="00657494">
        <w:t xml:space="preserve"> data-set has been initially measured at CRPG (Nancy) wi</w:t>
      </w:r>
      <w:r w:rsidR="00AF7D44">
        <w:t xml:space="preserve">th the current </w:t>
      </w:r>
      <w:proofErr w:type="spellStart"/>
      <w:r w:rsidR="00AF7D44">
        <w:t>ZHe</w:t>
      </w:r>
      <w:proofErr w:type="spellEnd"/>
      <w:r w:rsidR="00AF7D44">
        <w:t xml:space="preserve"> procedure </w:t>
      </w:r>
      <w:r w:rsidR="00AF7D44">
        <w:fldChar w:fldCharType="begin"/>
      </w:r>
      <w:r w:rsidR="00AF7D44">
        <w:instrText xml:space="preserve"> ADDIN EN.CITE &lt;EndNote&gt;&lt;Cite&gt;&lt;Author&gt;Tibari&lt;/Author&gt;&lt;Year&gt;2016&lt;/Year&gt;&lt;RecNum&gt;741&lt;/RecNum&gt;&lt;DisplayText&gt;(Tibari et al., 2016)&lt;/DisplayText&gt;&lt;record&gt;&lt;rec-number&gt;741&lt;/rec-number&gt;&lt;foreign-keys&gt;&lt;key app="EN" db-id="22etxz0w4vp0v3exfs4pfx5cz50rett2ds0s" timestamp="1586434658"&gt;741&lt;/key&gt;&lt;/foreign-keys&gt;&lt;ref-type name="Journal Article"&gt;17&lt;/ref-type&gt;&lt;contributors&gt;&lt;authors&gt;&lt;author&gt;Tibari, Bouchaib&lt;/author&gt;&lt;author&gt;Vacherat, Arnaud&lt;/author&gt;&lt;author&gt;Stab, Martin&lt;/author&gt;&lt;author&gt;Pik, Raphaël&lt;/author&gt;&lt;author&gt;Yeghicheyan, Delphine&lt;/author&gt;&lt;author&gt;Hild, Pascal&lt;/author&gt;&lt;/authors&gt;&lt;/contributors&gt;&lt;titles&gt;&lt;title&gt;An alternative protocol for single zircon dissolution with application to (U‐Th‐Sm)/He thermochronometry&lt;/title&gt;&lt;secondary-title&gt;Geostandards and Geoanalytical Research&lt;/secondary-title&gt;&lt;/titles&gt;&lt;periodical&gt;&lt;full-title&gt;Geostandards and Geoanalytical Research&lt;/full-title&gt;&lt;/periodical&gt;&lt;pages&gt;365-375&lt;/pages&gt;&lt;volume&gt;40&lt;/volume&gt;&lt;number&gt;3&lt;/number&gt;&lt;dates&gt;&lt;year&gt;2016&lt;/year&gt;&lt;/dates&gt;&lt;isbn&gt;1639-4488&lt;/isbn&gt;&lt;urls&gt;&lt;/urls&gt;&lt;/record&gt;&lt;/Cite&gt;&lt;/EndNote&gt;</w:instrText>
      </w:r>
      <w:r w:rsidR="00AF7D44">
        <w:fldChar w:fldCharType="separate"/>
      </w:r>
      <w:r w:rsidR="00AF7D44">
        <w:rPr>
          <w:noProof/>
        </w:rPr>
        <w:t>(Tibari et al., 2016)</w:t>
      </w:r>
      <w:r w:rsidR="00AF7D44">
        <w:fldChar w:fldCharType="end"/>
      </w:r>
      <w:r w:rsidRPr="00657494">
        <w:t xml:space="preserve">, which do not allow single grain measurements for </w:t>
      </w:r>
      <w:proofErr w:type="spellStart"/>
      <w:r w:rsidRPr="00657494">
        <w:t>apatites</w:t>
      </w:r>
      <w:proofErr w:type="spellEnd"/>
      <w:r w:rsidRPr="00657494">
        <w:t xml:space="preserve">. This dataset has been measured on aliquots of 6 to 13 grains of </w:t>
      </w:r>
      <w:proofErr w:type="spellStart"/>
      <w:r w:rsidRPr="00657494">
        <w:t>apatites</w:t>
      </w:r>
      <w:proofErr w:type="spellEnd"/>
      <w:r w:rsidRPr="00657494">
        <w:t xml:space="preserve"> and prepared identically as for single grains, except that FT factors represent the mean of the individual grain’s population. For </w:t>
      </w:r>
      <w:proofErr w:type="spellStart"/>
      <w:r w:rsidRPr="00657494">
        <w:t>ZHe</w:t>
      </w:r>
      <w:proofErr w:type="spellEnd"/>
      <w:r w:rsidRPr="00657494">
        <w:t xml:space="preserve"> measured at CRPG, grains have been selected and packed individually in Pt </w:t>
      </w:r>
      <w:proofErr w:type="spellStart"/>
      <w:r w:rsidRPr="00657494">
        <w:t>basquets</w:t>
      </w:r>
      <w:proofErr w:type="spellEnd"/>
      <w:r w:rsidRPr="00657494">
        <w:t xml:space="preserve">. The aliquots were subsequently loaded into an Ultra-High Vacuum chamber and outgassed a first time at around 1500°C for 35 min, using a </w:t>
      </w:r>
      <w:proofErr w:type="spellStart"/>
      <w:r w:rsidRPr="00657494">
        <w:t>Dilas</w:t>
      </w:r>
      <w:proofErr w:type="spellEnd"/>
      <w:r w:rsidRPr="00657494">
        <w:t xml:space="preserve"> Fiber-Coupled Compact Diode Laser System combined </w:t>
      </w:r>
      <w:r w:rsidRPr="00657494">
        <w:lastRenderedPageBreak/>
        <w:t xml:space="preserve">with a </w:t>
      </w:r>
      <w:proofErr w:type="spellStart"/>
      <w:r w:rsidRPr="00657494">
        <w:t>Dilas</w:t>
      </w:r>
      <w:proofErr w:type="spellEnd"/>
      <w:r w:rsidRPr="00657494">
        <w:t xml:space="preserve"> Pyrometer Processing Head. Grains were subsequently analyzed for 4He concentrations with </w:t>
      </w:r>
      <w:proofErr w:type="gramStart"/>
      <w:r w:rsidRPr="00657494">
        <w:t>a</w:t>
      </w:r>
      <w:proofErr w:type="gramEnd"/>
      <w:r w:rsidRPr="00657494">
        <w:t xml:space="preserve"> MKS Quadrupole mass-spectrometer using a calibrated 3He spike. A second outgassing was performed on each aliquot to check that 4He extraction was complete. We considered this was the case when the second measured 4He concentration was inferior to 5% of the total 4He extracted. A maximum of two outgassing phases was chosen in order to limit uncertainties. After complete 4He extraction, Pt packets were retrieved for U, Th, and </w:t>
      </w:r>
      <w:proofErr w:type="spellStart"/>
      <w:r w:rsidRPr="00657494">
        <w:t>Sm</w:t>
      </w:r>
      <w:proofErr w:type="spellEnd"/>
      <w:r w:rsidRPr="00657494">
        <w:t xml:space="preserve"> measurements using a Thermo Fischer Scientific X7 ICP-MS at the Service </w:t>
      </w:r>
      <w:proofErr w:type="spellStart"/>
      <w:r w:rsidRPr="00657494">
        <w:t>d’Analyse</w:t>
      </w:r>
      <w:proofErr w:type="spellEnd"/>
      <w:r w:rsidRPr="00657494">
        <w:t xml:space="preserve"> des Roches et des </w:t>
      </w:r>
      <w:proofErr w:type="spellStart"/>
      <w:r w:rsidRPr="00657494">
        <w:t>Minéraux</w:t>
      </w:r>
      <w:proofErr w:type="spellEnd"/>
      <w:r w:rsidRPr="00657494">
        <w:t xml:space="preserve"> (SARM, CRPG), following the procedure developed by </w:t>
      </w:r>
      <w:proofErr w:type="spellStart"/>
      <w:r w:rsidRPr="00657494">
        <w:t>Tibari</w:t>
      </w:r>
      <w:proofErr w:type="spellEnd"/>
      <w:r w:rsidRPr="00657494">
        <w:t xml:space="preserve"> et al. (2016). For this procedure, precision of </w:t>
      </w:r>
      <w:proofErr w:type="spellStart"/>
      <w:r w:rsidRPr="00657494">
        <w:t>ZHe</w:t>
      </w:r>
      <w:proofErr w:type="spellEnd"/>
      <w:r w:rsidRPr="00657494">
        <w:t xml:space="preserve"> ages determined on external Fish Canyon Tuff standard is about 6% (1σ).</w:t>
      </w:r>
    </w:p>
    <w:p w:rsidR="00F13B90" w:rsidRPr="00241AB3" w:rsidRDefault="00F13B90" w:rsidP="00F932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</w:pPr>
      <w:r w:rsidRPr="00241AB3">
        <w:rPr>
          <w:rFonts w:ascii="Times New Roman" w:hAnsi="Times New Roman" w:cs="Times New Roman"/>
          <w:sz w:val="24"/>
          <w14:textOutline w14:w="0" w14:cap="flat" w14:cmpd="sng" w14:algn="ctr">
            <w14:noFill/>
            <w14:prstDash w14:val="solid"/>
            <w14:bevel/>
          </w14:textOutline>
        </w:rPr>
        <w:t>(U-Th)/He on zircons in Austin, Texas</w:t>
      </w:r>
    </w:p>
    <w:p w:rsidR="001D5910" w:rsidRPr="00F93293" w:rsidRDefault="00F93293" w:rsidP="00F932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to five unbroken, euhedral, inclusion‐free zircons &gt;70 </w:t>
      </w:r>
      <w:proofErr w:type="spellStart"/>
      <w:r w:rsidRPr="00F93293">
        <w:rPr>
          <w:rFonts w:ascii="Times New Roman" w:eastAsia="Times New Roman" w:hAnsi="Times New Roman" w:cs="Times New Roman"/>
          <w:sz w:val="24"/>
          <w:szCs w:val="24"/>
        </w:rPr>
        <w:t>μm</w:t>
      </w:r>
      <w:proofErr w:type="spellEnd"/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 in width picked from each sample and measured for standard geometric alpha particle ejection correction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&lt;EndNote&gt;&lt;Cite&gt;&lt;Author&gt;Farley&lt;/Author&gt;&lt;Year&gt;1996&lt;/Year&gt;&lt;RecNum&gt;277&lt;/RecNum&gt;&lt;DisplayText&gt;(Farley et al., 1996)&lt;/DisplayText&gt;&lt;record&gt;&lt;rec-number&gt;277&lt;/rec-number&gt;&lt;foreign-keys&gt;&lt;key app="EN" db-id="22etxz0w4vp0v3exfs4pfx5cz50rett2ds0s" timestamp="1572949513"&gt;277&lt;/key&gt;&lt;/foreign-keys&gt;&lt;ref-type name="Journal Article"&gt;17&lt;/ref-type&gt;&lt;contributors&gt;&lt;authors&gt;&lt;author&gt;Farley, K. A.&lt;/author&gt;&lt;author&gt;Wolf, R. A.&lt;/author&gt;&lt;author&gt;Silver, L. T.&lt;/author&gt;&lt;/authors&gt;&lt;/contributors&gt;&lt;titles&gt;&lt;title&gt;The effects of long alpha-stopping distances on (U-Th)/He ages&lt;/title&gt;&lt;secondary-title&gt;Geochimica et cosmochimica acta&lt;/secondary-title&gt;&lt;/titles&gt;&lt;periodical&gt;&lt;full-title&gt;Geochimica et Cosmochimica Acta&lt;/full-title&gt;&lt;abbr-1&gt;Geochim. Cosmochim. Acta&lt;/abbr-1&gt;&lt;/periodical&gt;&lt;pages&gt;4223-4229&lt;/pages&gt;&lt;volume&gt;60&lt;/volume&gt;&lt;number&gt;21&lt;/number&gt;&lt;dates&gt;&lt;year&gt;1996&lt;/year&gt;&lt;/dates&gt;&lt;isbn&gt;0016-7037&lt;/isbn&gt;&lt;urls&gt;&lt;related-urls&gt;&lt;url&gt;http://www.sciencedirect.com/science/article/pii/S0016703796001937&lt;/url&gt;&lt;/related-urls&gt;&lt;/urls&gt;&lt;/record&gt;&lt;/Cite&gt;&lt;/EndNote&gt;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(Farley et al., 1996)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>. Single‐grain aliquots were packed in Pt t</w:t>
      </w:r>
      <w:r w:rsidR="005648C9">
        <w:rPr>
          <w:rFonts w:ascii="Times New Roman" w:eastAsia="Times New Roman" w:hAnsi="Times New Roman" w:cs="Times New Roman"/>
          <w:sz w:val="24"/>
          <w:szCs w:val="24"/>
        </w:rPr>
        <w:t>ubes, laser heated to extract 4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He, and analyzed on a </w:t>
      </w:r>
      <w:proofErr w:type="spellStart"/>
      <w:r w:rsidRPr="00F93293">
        <w:rPr>
          <w:rFonts w:ascii="Times New Roman" w:eastAsia="Times New Roman" w:hAnsi="Times New Roman" w:cs="Times New Roman"/>
          <w:sz w:val="24"/>
          <w:szCs w:val="24"/>
        </w:rPr>
        <w:t>Balzers</w:t>
      </w:r>
      <w:proofErr w:type="spellEnd"/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 Prisma QMS‐200 quadrupole mass spectrometer. Aliquots were reheated until completely degassed (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>1% He on second heating). 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>Canyon Tuff zircon grains were analyzed as standards. After complete degassing, aliquots were unpacked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293">
        <w:rPr>
          <w:rFonts w:ascii="Times New Roman" w:eastAsia="Times New Roman" w:hAnsi="Times New Roman" w:cs="Times New Roman" w:hint="eastAsia"/>
          <w:sz w:val="24"/>
          <w:szCs w:val="24"/>
        </w:rPr>
        <w:t>and dissolved in hydrofluoric and nitric acid in high‐pressure digestion vessels, spiked with a 7 N nitric solution enriched in 235U, 230Th, and 149Sm and analyzed for 238U, 235U, 230Th, and 147Sm on a Thermo Element2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293">
        <w:rPr>
          <w:rFonts w:ascii="Times New Roman" w:eastAsia="Times New Roman" w:hAnsi="Times New Roman" w:cs="Times New Roman" w:hint="eastAsia"/>
          <w:sz w:val="24"/>
          <w:szCs w:val="24"/>
        </w:rPr>
        <w:t>high‐resolution magnetic sector inductively coupled plasma mass spectrometer operated in solution mode.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>A standard analytical error of 8% is applied to each aliquot based on the internal laboratory reproducibility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D44">
        <w:rPr>
          <w:rFonts w:ascii="Times New Roman" w:eastAsia="Times New Roman" w:hAnsi="Times New Roman" w:cs="Times New Roman"/>
          <w:sz w:val="24"/>
          <w:szCs w:val="24"/>
        </w:rPr>
        <w:t xml:space="preserve">the Fish Canyon Tuff standard </w:t>
      </w:r>
      <w:r w:rsidR="00AF7D44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PEVuZE5vdGU+PENpdGU+PEF1dGhvcj5SZWluZXJzPC9BdXRob3I+PFllYXI+MjAwMjwvWWVhcj48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</w:fldData>
        </w:fldChar>
      </w:r>
      <w:r w:rsidR="00AF7D44">
        <w:rPr>
          <w:rFonts w:ascii="Times New Roman" w:eastAsia="Times New Roman" w:hAnsi="Times New Roman" w:cs="Times New Roman"/>
          <w:sz w:val="24"/>
          <w:szCs w:val="24"/>
        </w:rPr>
        <w:instrText xml:space="preserve"> ADDIN EN.CITE </w:instrText>
      </w:r>
      <w:r w:rsidR="00AF7D44">
        <w:rPr>
          <w:rFonts w:ascii="Times New Roman" w:eastAsia="Times New Roman" w:hAnsi="Times New Roman" w:cs="Times New Roman"/>
          <w:sz w:val="24"/>
          <w:szCs w:val="24"/>
        </w:rPr>
        <w:fldChar w:fldCharType="begin">
          <w:fldData xml:space="preserve">PEVuZE5vdGU+PENpdGU+PEF1dGhvcj5SZWluZXJzPC9BdXRob3I+PFllYXI+MjAwMjwvWWVhcj48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</w:fldData>
        </w:fldChar>
      </w:r>
      <w:r w:rsidR="00AF7D44">
        <w:rPr>
          <w:rFonts w:ascii="Times New Roman" w:eastAsia="Times New Roman" w:hAnsi="Times New Roman" w:cs="Times New Roman"/>
          <w:sz w:val="24"/>
          <w:szCs w:val="24"/>
        </w:rPr>
        <w:instrText xml:space="preserve"> ADDIN EN.CITE.DATA </w:instrText>
      </w:r>
      <w:r w:rsidR="00AF7D44">
        <w:rPr>
          <w:rFonts w:ascii="Times New Roman" w:eastAsia="Times New Roman" w:hAnsi="Times New Roman" w:cs="Times New Roman"/>
          <w:sz w:val="24"/>
          <w:szCs w:val="24"/>
        </w:rPr>
      </w:r>
      <w:r w:rsidR="00AF7D4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AF7D44">
        <w:rPr>
          <w:rFonts w:ascii="Times New Roman" w:eastAsia="Times New Roman" w:hAnsi="Times New Roman" w:cs="Times New Roman"/>
          <w:sz w:val="24"/>
          <w:szCs w:val="24"/>
        </w:rPr>
      </w:r>
      <w:r w:rsidR="00AF7D44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AF7D44">
        <w:rPr>
          <w:rFonts w:ascii="Times New Roman" w:eastAsia="Times New Roman" w:hAnsi="Times New Roman" w:cs="Times New Roman"/>
          <w:noProof/>
          <w:sz w:val="24"/>
          <w:szCs w:val="24"/>
        </w:rPr>
        <w:t>(Reiners et al., 2002; Reiners et al., 2004)</w:t>
      </w:r>
      <w:r w:rsidR="00AF7D4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93293">
        <w:rPr>
          <w:rFonts w:ascii="Times New Roman" w:eastAsia="Times New Roman" w:hAnsi="Times New Roman" w:cs="Times New Roman"/>
          <w:sz w:val="24"/>
          <w:szCs w:val="24"/>
        </w:rPr>
        <w:t>. Mean dates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reported for each sample. Error is reported as the larger standard error of the mean standard </w:t>
      </w:r>
      <w:proofErr w:type="gramStart"/>
      <w:r w:rsidRPr="00F93293">
        <w:rPr>
          <w:rFonts w:ascii="Times New Roman" w:eastAsia="Times New Roman" w:hAnsi="Times New Roman" w:cs="Times New Roman"/>
          <w:sz w:val="24"/>
          <w:szCs w:val="24"/>
        </w:rPr>
        <w:t xml:space="preserve">error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D5910" w:rsidRPr="00657494" w:rsidRDefault="001D5910" w:rsidP="00F93293">
      <w:pPr>
        <w:jc w:val="both"/>
        <w:rPr>
          <w:rFonts w:ascii="Times New Roman" w:hAnsi="Times New Roman" w:cs="Times New Roman"/>
          <w:sz w:val="32"/>
        </w:rPr>
      </w:pPr>
    </w:p>
    <w:p w:rsidR="0090799B" w:rsidRPr="00657494" w:rsidRDefault="0090799B" w:rsidP="00F93293">
      <w:pPr>
        <w:jc w:val="both"/>
        <w:rPr>
          <w:rFonts w:ascii="Times New Roman" w:hAnsi="Times New Roman" w:cs="Times New Roman"/>
          <w:sz w:val="32"/>
        </w:rPr>
      </w:pPr>
    </w:p>
    <w:p w:rsidR="00FE10FC" w:rsidRPr="00657494" w:rsidRDefault="00FE10FC" w:rsidP="00F93293">
      <w:pPr>
        <w:jc w:val="both"/>
        <w:rPr>
          <w:rFonts w:ascii="Times New Roman" w:hAnsi="Times New Roman" w:cs="Times New Roma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401"/>
        <w:gridCol w:w="4779"/>
      </w:tblGrid>
      <w:tr w:rsidR="00FE10FC" w:rsidRPr="00657494" w:rsidTr="00ED7383">
        <w:tc>
          <w:tcPr>
            <w:tcW w:w="4401" w:type="dxa"/>
          </w:tcPr>
          <w:p w:rsidR="00FE10FC" w:rsidRPr="00657494" w:rsidRDefault="00FE10FC" w:rsidP="00F932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7494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2085D3F5" wp14:editId="49212FC0">
                  <wp:extent cx="2686922" cy="2583180"/>
                  <wp:effectExtent l="0" t="0" r="0" b="7620"/>
                  <wp:docPr id="14" name="Picture 2" descr="Macintosh HD:Users:Cha:Documents:PYRENEES:Thermochro-West-Pyr:nouvelles-data-thermochro:AFT:C3410-radialpplotter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a:Documents:PYRENEES:Thermochro-West-Pyr:nouvelles-data-thermochro:AFT:C3410-radialpplotter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79" b="13643"/>
                          <a:stretch/>
                        </pic:blipFill>
                        <pic:spPr bwMode="auto">
                          <a:xfrm>
                            <a:off x="0" y="0"/>
                            <a:ext cx="2695540" cy="25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9" w:type="dxa"/>
          </w:tcPr>
          <w:p w:rsidR="00FE10FC" w:rsidRPr="00657494" w:rsidRDefault="00FE10FC" w:rsidP="00F932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749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931B91C" wp14:editId="23973147">
                  <wp:extent cx="2727960" cy="2643698"/>
                  <wp:effectExtent l="0" t="0" r="0" b="0"/>
                  <wp:docPr id="15" name="Picture 5" descr="Macintosh HD:Users:Cha:Documents:PYRENEES:Thermochro-West-Pyr:nouvelles-data-thermochro:AFT:L4910-radialpplotter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Cha:Documents:PYRENEES:Thermochro-West-Pyr:nouvelles-data-thermochro:AFT:L4910-radialpplotter.pd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88" b="13353"/>
                          <a:stretch/>
                        </pic:blipFill>
                        <pic:spPr bwMode="auto">
                          <a:xfrm>
                            <a:off x="0" y="0"/>
                            <a:ext cx="2736941" cy="265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0FC" w:rsidRPr="00657494" w:rsidRDefault="00FE10FC" w:rsidP="00F9329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57494">
        <w:rPr>
          <w:rFonts w:ascii="Times New Roman" w:hAnsi="Times New Roman" w:cs="Times New Roman"/>
          <w:b/>
        </w:rPr>
        <w:t xml:space="preserve">Figure </w:t>
      </w:r>
      <w:r w:rsidR="0090799B" w:rsidRPr="00657494">
        <w:rPr>
          <w:rFonts w:ascii="Times New Roman" w:hAnsi="Times New Roman" w:cs="Times New Roman"/>
          <w:b/>
        </w:rPr>
        <w:t>S1</w:t>
      </w:r>
      <w:r w:rsidRPr="00657494">
        <w:rPr>
          <w:rFonts w:ascii="Times New Roman" w:hAnsi="Times New Roman" w:cs="Times New Roman"/>
        </w:rPr>
        <w:t xml:space="preserve">. Radial plot of the AFT data using radial plotter software </w:t>
      </w:r>
      <w:r w:rsidRPr="00657494">
        <w:rPr>
          <w:rFonts w:ascii="Times New Roman" w:hAnsi="Times New Roman" w:cs="Times New Roman"/>
        </w:rPr>
        <w:fldChar w:fldCharType="begin"/>
      </w:r>
      <w:r w:rsidRPr="00657494">
        <w:rPr>
          <w:rFonts w:ascii="Times New Roman" w:hAnsi="Times New Roman" w:cs="Times New Roman"/>
        </w:rPr>
        <w:instrText xml:space="preserve"> ADDIN PAPERS2_CITATIONS &lt;citation&gt;&lt;uuid&gt;C6727980-3B5F-443D-8C60-E0BC012E7AC2&lt;/uuid&gt;&lt;priority&gt;0&lt;/priority&gt;&lt;publications&gt;&lt;publication&gt;&lt;publication_date&gt;99200900001200000000200000&lt;/publication_date&gt;&lt;doi&gt;10.1016/j.radmeas.2009.05.003&lt;/doi&gt;&lt;title&gt;RadialPlotter: A Java application for fission track, luminescence and other radial plots&lt;/title&gt;&lt;uuid&gt;5B0FDFA6-3BF7-42EB-B219-D8C640C4B445&lt;/uuid&gt;&lt;subtype&gt;0&lt;/subtype&gt;&lt;publisher&gt;Radiation Measurements&lt;/publisher&gt;&lt;type&gt;0&lt;/type&gt;&lt;url&gt;http://scholar.google.com/scholar?q=related:HZuV39lHlVAJ:scholar.google.com/&amp;amp;hl=en&amp;amp;num=20&amp;amp;as_sdt=0,5&lt;/url&gt;&lt;bundle&gt;&lt;marked_edited&gt;0&lt;/marked_edited&gt;&lt;created_at&gt;2015-06-09 07:31:17 +0000&lt;/created_at&gt;&lt;marked_deleted&gt;0&lt;/marked_deleted&gt;&lt;quality&gt;0&lt;/quality&gt;&lt;open_access&gt;0&lt;/open_access&gt;&lt;marked_duplicate&gt;0&lt;/marked_duplicate&gt;&lt;author_year_string&gt;Anon.&lt;/author_year_string&gt;&lt;abbreviation&gt;Radiation Measurements&lt;/abbreviation&gt;&lt;update_count&gt;0&lt;/update_count&gt;&lt;label&gt;0&lt;/label&gt;&lt;matched&gt;0&lt;/matched&gt;&lt;type&gt;-100&lt;/type&gt;&lt;uuid&gt;E6FB0F72-0FC8-45FE-9F1C-27EAA4EBA423&lt;/uuid&gt;&lt;factor&gt;0&lt;/factor&gt;&lt;citekey_base&gt;RadiationMeasurements&lt;/citekey_base&gt;&lt;searchresult&gt;0&lt;/searchresult&gt;&lt;attributed_title&gt;Radiation Measurements&lt;/attributed_title&gt;&lt;manuscript&gt;0&lt;/manuscript&gt;&lt;times_cited&gt;0&lt;/times_cited&gt;&lt;initial&gt;R&lt;/initial&gt;&lt;newly_added&gt;0&lt;/newly_added&gt;&lt;canonical_title&gt;radiation measurements&lt;/canonical_title&gt;&lt;read_status&gt;0&lt;/read_status&gt;&lt;updated_at&gt;2016-12-13 08:26:16 +0000&lt;/updated_at&gt;&lt;flagged&gt;0&lt;/flagged&gt;&lt;publisher&gt;Elsevier Ltd&lt;/publisher&gt;&lt;privacy_level&gt;0&lt;/privacy_level&gt;&lt;publication_count&gt;3&lt;/publication_count&gt;&lt;draft&gt;0&lt;/draft&gt;&lt;title&gt;Radiation Measurements&lt;/title&gt;&lt;rating&gt;0&lt;/rating&gt;&lt;imported_date&gt;2015-06-09 07:31:17 +0000&lt;/imported_date&gt;&lt;subtype&gt;-100&lt;/subtype&gt;&lt;times_read&gt;0&lt;/times_read&gt;&lt;/bundle&gt;&lt;authors&gt;&lt;author&gt;&lt;firstName&gt;P&lt;/firstName&gt;&lt;lastName&gt;Vermeesch&lt;/lastName&gt;&lt;/author&gt;&lt;/authors&gt;&lt;/publication&gt;&lt;/publications&gt;&lt;cites&gt;&lt;/cites&gt;&lt;/citation&gt;</w:instrText>
      </w:r>
      <w:r w:rsidRPr="00657494">
        <w:rPr>
          <w:rFonts w:ascii="Times New Roman" w:hAnsi="Times New Roman" w:cs="Times New Roman"/>
        </w:rPr>
        <w:fldChar w:fldCharType="separate"/>
      </w:r>
      <w:r w:rsidRPr="00657494">
        <w:rPr>
          <w:rFonts w:ascii="Times New Roman" w:hAnsi="Times New Roman" w:cs="Times New Roman"/>
        </w:rPr>
        <w:t>(Vermeesch, 2009)</w:t>
      </w:r>
      <w:r w:rsidRPr="00657494">
        <w:rPr>
          <w:rFonts w:ascii="Times New Roman" w:hAnsi="Times New Roman" w:cs="Times New Roman"/>
        </w:rPr>
        <w:fldChar w:fldCharType="end"/>
      </w:r>
      <w:r w:rsidRPr="00657494">
        <w:rPr>
          <w:rFonts w:ascii="Times New Roman" w:hAnsi="Times New Roman" w:cs="Times New Roman"/>
        </w:rPr>
        <w:t xml:space="preserve">. This representation shows the dispersion of the </w:t>
      </w:r>
      <w:proofErr w:type="spellStart"/>
      <w:r w:rsidRPr="00657494">
        <w:rPr>
          <w:rFonts w:ascii="Times New Roman" w:hAnsi="Times New Roman" w:cs="Times New Roman"/>
        </w:rPr>
        <w:t>indicidual</w:t>
      </w:r>
      <w:proofErr w:type="spellEnd"/>
      <w:r w:rsidRPr="00657494">
        <w:rPr>
          <w:rFonts w:ascii="Times New Roman" w:hAnsi="Times New Roman" w:cs="Times New Roman"/>
        </w:rPr>
        <w:t xml:space="preserve"> grain ages together with the uncertainty on the ages (x axis), points with larger x values have a larger precision. Color code corresponds to the </w:t>
      </w:r>
      <w:proofErr w:type="spellStart"/>
      <w:r w:rsidRPr="00657494">
        <w:rPr>
          <w:rFonts w:ascii="Times New Roman" w:hAnsi="Times New Roman" w:cs="Times New Roman"/>
        </w:rPr>
        <w:t>Dpar</w:t>
      </w:r>
      <w:proofErr w:type="spellEnd"/>
      <w:r w:rsidRPr="00657494">
        <w:rPr>
          <w:rFonts w:ascii="Times New Roman" w:hAnsi="Times New Roman" w:cs="Times New Roman"/>
        </w:rPr>
        <w:t xml:space="preserve"> value of the grains when measured. No significant relationship between </w:t>
      </w:r>
      <w:proofErr w:type="spellStart"/>
      <w:r w:rsidRPr="00657494">
        <w:rPr>
          <w:rFonts w:ascii="Times New Roman" w:hAnsi="Times New Roman" w:cs="Times New Roman"/>
        </w:rPr>
        <w:t>Dpar</w:t>
      </w:r>
      <w:proofErr w:type="spellEnd"/>
      <w:r w:rsidRPr="00657494">
        <w:rPr>
          <w:rFonts w:ascii="Times New Roman" w:hAnsi="Times New Roman" w:cs="Times New Roman"/>
        </w:rPr>
        <w:t xml:space="preserve"> and AFT age is found.</w:t>
      </w:r>
    </w:p>
    <w:p w:rsidR="00FE10FC" w:rsidRPr="00657494" w:rsidRDefault="00FE10FC" w:rsidP="00F93293">
      <w:pPr>
        <w:jc w:val="both"/>
        <w:rPr>
          <w:rFonts w:ascii="Times New Roman" w:hAnsi="Times New Roman" w:cs="Times New Roman"/>
        </w:rPr>
      </w:pPr>
    </w:p>
    <w:p w:rsidR="00E523FE" w:rsidRPr="00657494" w:rsidRDefault="00E523FE" w:rsidP="00F93293">
      <w:pPr>
        <w:jc w:val="both"/>
        <w:rPr>
          <w:rFonts w:ascii="Times New Roman" w:hAnsi="Times New Roman" w:cs="Times New Roman"/>
        </w:rPr>
      </w:pPr>
      <w:r w:rsidRPr="00657494">
        <w:rPr>
          <w:rFonts w:ascii="Times New Roman" w:hAnsi="Times New Roman" w:cs="Times New Roman"/>
          <w:noProof/>
        </w:rPr>
        <w:drawing>
          <wp:inline distT="0" distB="0" distL="0" distR="0" wp14:anchorId="7684FE86" wp14:editId="1FA93B70">
            <wp:extent cx="4503420" cy="3215640"/>
            <wp:effectExtent l="0" t="0" r="0" b="381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0799B" w:rsidRPr="00657494" w:rsidRDefault="0090799B" w:rsidP="00F93293">
      <w:pPr>
        <w:jc w:val="both"/>
        <w:rPr>
          <w:rFonts w:ascii="Times New Roman" w:hAnsi="Times New Roman" w:cs="Times New Roman"/>
        </w:rPr>
      </w:pPr>
      <w:r w:rsidRPr="00657494">
        <w:rPr>
          <w:rFonts w:ascii="Times New Roman" w:hAnsi="Times New Roman" w:cs="Times New Roman"/>
          <w:b/>
        </w:rPr>
        <w:t>Figure S2</w:t>
      </w:r>
      <w:r w:rsidRPr="00657494">
        <w:rPr>
          <w:rFonts w:ascii="Times New Roman" w:hAnsi="Times New Roman" w:cs="Times New Roman"/>
        </w:rPr>
        <w:t>. Age-</w:t>
      </w:r>
      <w:proofErr w:type="spellStart"/>
      <w:r w:rsidRPr="00657494">
        <w:rPr>
          <w:rFonts w:ascii="Times New Roman" w:hAnsi="Times New Roman" w:cs="Times New Roman"/>
        </w:rPr>
        <w:t>eU</w:t>
      </w:r>
      <w:proofErr w:type="spellEnd"/>
      <w:r w:rsidRPr="00657494">
        <w:rPr>
          <w:rFonts w:ascii="Times New Roman" w:hAnsi="Times New Roman" w:cs="Times New Roman"/>
        </w:rPr>
        <w:t xml:space="preserve"> relationship for the </w:t>
      </w:r>
      <w:proofErr w:type="spellStart"/>
      <w:r w:rsidRPr="00657494">
        <w:rPr>
          <w:rFonts w:ascii="Times New Roman" w:hAnsi="Times New Roman" w:cs="Times New Roman"/>
        </w:rPr>
        <w:t>ZHe</w:t>
      </w:r>
      <w:proofErr w:type="spellEnd"/>
      <w:r w:rsidRPr="00657494">
        <w:rPr>
          <w:rFonts w:ascii="Times New Roman" w:hAnsi="Times New Roman" w:cs="Times New Roman"/>
        </w:rPr>
        <w:t xml:space="preserve"> data from the </w:t>
      </w:r>
      <w:proofErr w:type="spellStart"/>
      <w:r w:rsidRPr="00657494">
        <w:rPr>
          <w:rFonts w:ascii="Times New Roman" w:hAnsi="Times New Roman" w:cs="Times New Roman"/>
        </w:rPr>
        <w:t>Clarens</w:t>
      </w:r>
      <w:proofErr w:type="spellEnd"/>
      <w:r w:rsidRPr="00657494">
        <w:rPr>
          <w:rFonts w:ascii="Times New Roman" w:hAnsi="Times New Roman" w:cs="Times New Roman"/>
        </w:rPr>
        <w:t xml:space="preserve">, </w:t>
      </w:r>
      <w:proofErr w:type="spellStart"/>
      <w:r w:rsidRPr="00657494">
        <w:rPr>
          <w:rFonts w:ascii="Times New Roman" w:hAnsi="Times New Roman" w:cs="Times New Roman"/>
        </w:rPr>
        <w:t>Cieutat</w:t>
      </w:r>
      <w:proofErr w:type="spellEnd"/>
      <w:r w:rsidRPr="00657494">
        <w:rPr>
          <w:rFonts w:ascii="Times New Roman" w:hAnsi="Times New Roman" w:cs="Times New Roman"/>
        </w:rPr>
        <w:t xml:space="preserve"> and </w:t>
      </w:r>
      <w:proofErr w:type="spellStart"/>
      <w:r w:rsidRPr="00657494">
        <w:rPr>
          <w:rFonts w:ascii="Times New Roman" w:hAnsi="Times New Roman" w:cs="Times New Roman"/>
        </w:rPr>
        <w:t>Louslitges</w:t>
      </w:r>
      <w:proofErr w:type="spellEnd"/>
      <w:r w:rsidRPr="00657494">
        <w:rPr>
          <w:rFonts w:ascii="Times New Roman" w:hAnsi="Times New Roman" w:cs="Times New Roman"/>
        </w:rPr>
        <w:t xml:space="preserve"> boreholes.</w:t>
      </w:r>
    </w:p>
    <w:p w:rsidR="00D33384" w:rsidRPr="00657494" w:rsidRDefault="00D33384" w:rsidP="00F93293">
      <w:pPr>
        <w:jc w:val="both"/>
        <w:rPr>
          <w:rFonts w:ascii="Times New Roman" w:hAnsi="Times New Roman" w:cs="Times New Roman"/>
        </w:rPr>
      </w:pPr>
    </w:p>
    <w:p w:rsidR="00D33384" w:rsidRDefault="00657494" w:rsidP="00F93293">
      <w:pPr>
        <w:jc w:val="both"/>
        <w:rPr>
          <w:rFonts w:ascii="Times New Roman" w:hAnsi="Times New Roman" w:cs="Times New Roman"/>
        </w:rPr>
      </w:pPr>
      <w:r w:rsidRPr="0065749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97F1197" wp14:editId="4727AFD4">
            <wp:extent cx="5943600" cy="3811270"/>
            <wp:effectExtent l="0" t="0" r="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2235" w:rsidRPr="00657494" w:rsidRDefault="00E32235" w:rsidP="00F93293">
      <w:pPr>
        <w:jc w:val="both"/>
        <w:rPr>
          <w:rFonts w:ascii="Times New Roman" w:hAnsi="Times New Roman" w:cs="Times New Roman"/>
        </w:rPr>
      </w:pPr>
      <w:r w:rsidRPr="00657494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3</w:t>
      </w:r>
      <w:r w:rsidRPr="00657494">
        <w:rPr>
          <w:rFonts w:ascii="Times New Roman" w:hAnsi="Times New Roman" w:cs="Times New Roman"/>
        </w:rPr>
        <w:t>. Age-</w:t>
      </w:r>
      <w:proofErr w:type="spellStart"/>
      <w:r w:rsidRPr="00657494">
        <w:rPr>
          <w:rFonts w:ascii="Times New Roman" w:hAnsi="Times New Roman" w:cs="Times New Roman"/>
        </w:rPr>
        <w:t>eU</w:t>
      </w:r>
      <w:proofErr w:type="spellEnd"/>
      <w:r w:rsidRPr="00657494">
        <w:rPr>
          <w:rFonts w:ascii="Times New Roman" w:hAnsi="Times New Roman" w:cs="Times New Roman"/>
        </w:rPr>
        <w:t xml:space="preserve"> relationship for the </w:t>
      </w:r>
      <w:proofErr w:type="spellStart"/>
      <w:r>
        <w:rPr>
          <w:rFonts w:ascii="Times New Roman" w:hAnsi="Times New Roman" w:cs="Times New Roman"/>
        </w:rPr>
        <w:t>AHe</w:t>
      </w:r>
      <w:proofErr w:type="spellEnd"/>
      <w:r w:rsidRPr="00657494">
        <w:rPr>
          <w:rFonts w:ascii="Times New Roman" w:hAnsi="Times New Roman" w:cs="Times New Roman"/>
        </w:rPr>
        <w:t xml:space="preserve"> data from </w:t>
      </w:r>
      <w:proofErr w:type="spellStart"/>
      <w:r>
        <w:rPr>
          <w:rFonts w:ascii="Times New Roman" w:hAnsi="Times New Roman" w:cs="Times New Roman"/>
        </w:rPr>
        <w:t>Bielsa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Neouvielle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Bordères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Louron</w:t>
      </w:r>
      <w:proofErr w:type="spellEnd"/>
      <w:r>
        <w:rPr>
          <w:rFonts w:ascii="Times New Roman" w:hAnsi="Times New Roman" w:cs="Times New Roman"/>
        </w:rPr>
        <w:t xml:space="preserve"> massifs. The (U-Th)/He ages </w:t>
      </w:r>
      <w:proofErr w:type="spellStart"/>
      <w:r>
        <w:rPr>
          <w:rFonts w:ascii="Times New Roman" w:hAnsi="Times New Roman" w:cs="Times New Roman"/>
        </w:rPr>
        <w:t>perfomed</w:t>
      </w:r>
      <w:proofErr w:type="spellEnd"/>
      <w:r>
        <w:rPr>
          <w:rFonts w:ascii="Times New Roman" w:hAnsi="Times New Roman" w:cs="Times New Roman"/>
        </w:rPr>
        <w:t xml:space="preserve"> on single grains or on several grains together have been plot separately. </w:t>
      </w:r>
    </w:p>
    <w:p w:rsidR="00F93293" w:rsidRDefault="00F93293" w:rsidP="00F93293">
      <w:pPr>
        <w:jc w:val="both"/>
        <w:rPr>
          <w:rFonts w:ascii="Times New Roman" w:hAnsi="Times New Roman" w:cs="Times New Roman"/>
        </w:rPr>
      </w:pPr>
    </w:p>
    <w:p w:rsidR="00F93293" w:rsidRPr="00AF7D44" w:rsidRDefault="00AF7D44" w:rsidP="00AF7D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F7D44">
        <w:rPr>
          <w:rFonts w:ascii="Times New Roman" w:hAnsi="Times New Roman" w:cs="Times New Roman"/>
          <w:b/>
        </w:rPr>
        <w:t>References</w:t>
      </w:r>
    </w:p>
    <w:p w:rsidR="00AF7D44" w:rsidRPr="00AF7D44" w:rsidRDefault="00F93293" w:rsidP="00AF7D44">
      <w:pPr>
        <w:pStyle w:val="EndNoteBibliography"/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separate"/>
      </w:r>
      <w:r w:rsidR="00AF7D44" w:rsidRPr="00AF7D44">
        <w:t>Evans, N.J., Byrne, J.P., Keegan, J.T., Dotter, L.E., 2005. Determination of Uranium and Thorium in Zircon, Apatite,and Fluorite: Application to Laser (U–Th)/He Thermochronology</w:t>
      </w:r>
    </w:p>
    <w:p w:rsidR="00AF7D44" w:rsidRPr="00AF7D44" w:rsidRDefault="00AF7D44" w:rsidP="00AF7D44">
      <w:pPr>
        <w:pStyle w:val="EndNoteBibliography"/>
        <w:spacing w:after="0"/>
      </w:pPr>
      <w:r w:rsidRPr="00AF7D44">
        <w:t>Journal of Analytical Chemistry 60, 1159-1165.</w:t>
      </w:r>
    </w:p>
    <w:p w:rsidR="00AF7D44" w:rsidRPr="00AF7D44" w:rsidRDefault="00AF7D44" w:rsidP="00AF7D44">
      <w:pPr>
        <w:pStyle w:val="EndNoteBibliography"/>
        <w:spacing w:after="0"/>
      </w:pPr>
      <w:r w:rsidRPr="00AF7D44">
        <w:t>Farley, K.A., Wolf, R.A., Silver, L.T., 1996. The effects of long alpha-stopping distances on (U-Th)/He ages. Geochim. Cosmochim. Acta 60, 4223-4229.</w:t>
      </w:r>
    </w:p>
    <w:p w:rsidR="00AF7D44" w:rsidRPr="00AF7D44" w:rsidRDefault="00AF7D44" w:rsidP="00AF7D44">
      <w:pPr>
        <w:pStyle w:val="EndNoteBibliography"/>
        <w:spacing w:after="0"/>
      </w:pPr>
      <w:r w:rsidRPr="00AF7D44">
        <w:t>Gautheron, C., Tassan-Got, L., 2010. A Monte Carlo approach to diffusion applied to noble gas/helium thermochronology. Chemical Geology 273, 212-224.</w:t>
      </w:r>
    </w:p>
    <w:p w:rsidR="00AF7D44" w:rsidRPr="00AF7D44" w:rsidRDefault="00AF7D44" w:rsidP="00AF7D44">
      <w:pPr>
        <w:pStyle w:val="EndNoteBibliography"/>
        <w:spacing w:after="0"/>
      </w:pPr>
      <w:r w:rsidRPr="00AF7D44">
        <w:t>Gautheron, C., Tassan-Got, L., Ketcham, R.A., Dobson, K.J., 2012. Accounting for long alpha-particle stopping distances in (U–Th–Sm)/He geochronology: 3D modeling of diffusion, zoning, implantation, and abrasion. Geochim. Cosmochim. Acta 96, 44-56.</w:t>
      </w:r>
    </w:p>
    <w:p w:rsidR="00AF7D44" w:rsidRPr="00AF7D44" w:rsidRDefault="00AF7D44" w:rsidP="00AF7D44">
      <w:pPr>
        <w:pStyle w:val="EndNoteBibliography"/>
        <w:spacing w:after="0"/>
      </w:pPr>
      <w:r w:rsidRPr="00AF7D44">
        <w:t>Ketcham, R.A., Gautheron, C., Tassan-Got, L., 2011. Accounting for long alpha-particle stopping distances in (U–Th–Sm)/He geochronology: Refinement of the baseline case. Geochemica et Cosmochimica Acta 75, 7779-7791.</w:t>
      </w:r>
    </w:p>
    <w:p w:rsidR="00AF7D44" w:rsidRPr="00AF7D44" w:rsidRDefault="00AF7D44" w:rsidP="00AF7D44">
      <w:pPr>
        <w:pStyle w:val="EndNoteBibliography"/>
        <w:spacing w:after="0"/>
      </w:pPr>
      <w:r w:rsidRPr="00AF7D44">
        <w:t>Reiners, P.W., Farley, K.A., Hickes, H.J., 2002. He diffusion and (U-Th)/He thermochronometry of zircon: initial results from Fish Canyon Tuff and Gold Butte. Tectonophysics 349, 297-308.</w:t>
      </w:r>
    </w:p>
    <w:p w:rsidR="00AF7D44" w:rsidRPr="00AF7D44" w:rsidRDefault="00AF7D44" w:rsidP="00AF7D44">
      <w:pPr>
        <w:pStyle w:val="EndNoteBibliography"/>
        <w:spacing w:after="0"/>
      </w:pPr>
      <w:r w:rsidRPr="00AF7D44">
        <w:t>Reiners, P.W., Spell, T.L., Nicolescu, S., Zanetti, K.A., 2004. Zircon (U-Th)/He thermochronometry: He diffusion and comparisons with 40Ar/39Ar dating. Geochim. Cosmochim. Acta 68, 1857-1887.</w:t>
      </w:r>
    </w:p>
    <w:p w:rsidR="00AF7D44" w:rsidRPr="00AF7D44" w:rsidRDefault="00AF7D44" w:rsidP="00AF7D44">
      <w:pPr>
        <w:pStyle w:val="EndNoteBibliography"/>
      </w:pPr>
      <w:r w:rsidRPr="00AF7D44">
        <w:rPr>
          <w:rFonts w:hint="eastAsia"/>
        </w:rPr>
        <w:lastRenderedPageBreak/>
        <w:t>Tibari, B., Vacherat, A., Stab, M., Pik, R., Yeghicheyan, D., Hild, P., 2016. An alternative protocol for single zircon dissolution with application to (U</w:t>
      </w:r>
      <w:r w:rsidRPr="00AF7D44">
        <w:rPr>
          <w:rFonts w:hint="eastAsia"/>
        </w:rPr>
        <w:t>‐</w:t>
      </w:r>
      <w:r w:rsidRPr="00AF7D44">
        <w:rPr>
          <w:rFonts w:hint="eastAsia"/>
        </w:rPr>
        <w:t>Th</w:t>
      </w:r>
      <w:r w:rsidRPr="00AF7D44">
        <w:rPr>
          <w:rFonts w:hint="eastAsia"/>
        </w:rPr>
        <w:t>‐</w:t>
      </w:r>
      <w:r w:rsidRPr="00AF7D44">
        <w:rPr>
          <w:rFonts w:hint="eastAsia"/>
        </w:rPr>
        <w:t>S</w:t>
      </w:r>
      <w:r w:rsidRPr="00AF7D44">
        <w:t>m)/He thermochronometry. Geostandards and Geoanalytical Research 40, 365-375.</w:t>
      </w:r>
    </w:p>
    <w:p w:rsidR="0090799B" w:rsidRPr="00657494" w:rsidRDefault="00F93293" w:rsidP="00AF7D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sectPr w:rsidR="0090799B" w:rsidRPr="00657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3FE" w:rsidRDefault="00E523FE" w:rsidP="00E523FE">
      <w:pPr>
        <w:spacing w:after="0" w:line="240" w:lineRule="auto"/>
      </w:pPr>
      <w:r>
        <w:separator/>
      </w:r>
    </w:p>
  </w:endnote>
  <w:endnote w:type="continuationSeparator" w:id="0">
    <w:p w:rsidR="00E523FE" w:rsidRDefault="00E523FE" w:rsidP="00E5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3FE" w:rsidRDefault="00E523FE" w:rsidP="00E523FE">
      <w:pPr>
        <w:spacing w:after="0" w:line="240" w:lineRule="auto"/>
      </w:pPr>
      <w:r>
        <w:separator/>
      </w:r>
    </w:p>
  </w:footnote>
  <w:footnote w:type="continuationSeparator" w:id="0">
    <w:p w:rsidR="00E523FE" w:rsidRDefault="00E523FE" w:rsidP="00E5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B21FB"/>
    <w:multiLevelType w:val="hybridMultilevel"/>
    <w:tmpl w:val="0BE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S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2etxz0w4vp0v3exfs4pfx5cz50rett2ds0s&quot;&gt;References&lt;record-ids&gt;&lt;item&gt;133&lt;/item&gt;&lt;item&gt;277&lt;/item&gt;&lt;item&gt;278&lt;/item&gt;&lt;item&gt;279&lt;/item&gt;&lt;item&gt;401&lt;/item&gt;&lt;item&gt;736&lt;/item&gt;&lt;item&gt;737&lt;/item&gt;&lt;item&gt;741&lt;/item&gt;&lt;/record-ids&gt;&lt;/item&gt;&lt;/Libraries&gt;"/>
  </w:docVars>
  <w:rsids>
    <w:rsidRoot w:val="00FE10FC"/>
    <w:rsid w:val="00017430"/>
    <w:rsid w:val="000F0C17"/>
    <w:rsid w:val="001D5910"/>
    <w:rsid w:val="0020368C"/>
    <w:rsid w:val="00241169"/>
    <w:rsid w:val="00241AB3"/>
    <w:rsid w:val="0030693F"/>
    <w:rsid w:val="005648C9"/>
    <w:rsid w:val="00657494"/>
    <w:rsid w:val="00705686"/>
    <w:rsid w:val="0090799B"/>
    <w:rsid w:val="009C7DF5"/>
    <w:rsid w:val="00AB4461"/>
    <w:rsid w:val="00AF7D44"/>
    <w:rsid w:val="00C524C9"/>
    <w:rsid w:val="00D33384"/>
    <w:rsid w:val="00E32235"/>
    <w:rsid w:val="00E523FE"/>
    <w:rsid w:val="00F13B90"/>
    <w:rsid w:val="00F55844"/>
    <w:rsid w:val="00F93293"/>
    <w:rsid w:val="00FA51F6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C34691B-E59D-4FF3-B5C4-CF76D54B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3FE"/>
  </w:style>
  <w:style w:type="paragraph" w:styleId="Footer">
    <w:name w:val="footer"/>
    <w:basedOn w:val="Normal"/>
    <w:link w:val="FooterChar"/>
    <w:uiPriority w:val="99"/>
    <w:unhideWhenUsed/>
    <w:rsid w:val="00E52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3FE"/>
  </w:style>
  <w:style w:type="paragraph" w:styleId="ListParagraph">
    <w:name w:val="List Paragraph"/>
    <w:basedOn w:val="Normal"/>
    <w:uiPriority w:val="34"/>
    <w:qFormat/>
    <w:rsid w:val="001D59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F9329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F9329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F9329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F9329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in.glb.corp.local\ep-hq$\Home\PAU\7\J0462577\Documents\PYRENEES\Thermochro-West-Pyr\nouvelles-data-thermochro\Aquitaine-all-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in.glb.corp.local\ep-hq$\Home\PAU\7\J0462577\Documents\PYRENEES\Thermochro-West-Pyr\Westpyr-all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CET-5038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8"/>
            <c:spPr>
              <a:solidFill>
                <a:schemeClr val="accent5">
                  <a:lumMod val="75000"/>
                </a:schemeClr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Feuil1!$I$4:$I$8</c:f>
              <c:numCache>
                <c:formatCode>General</c:formatCode>
                <c:ptCount val="5"/>
                <c:pt idx="0">
                  <c:v>373</c:v>
                </c:pt>
                <c:pt idx="1">
                  <c:v>545</c:v>
                </c:pt>
                <c:pt idx="2">
                  <c:v>412</c:v>
                </c:pt>
                <c:pt idx="3">
                  <c:v>450</c:v>
                </c:pt>
                <c:pt idx="4">
                  <c:v>154</c:v>
                </c:pt>
              </c:numCache>
            </c:numRef>
          </c:xVal>
          <c:yVal>
            <c:numRef>
              <c:f>Feuil1!$J$4:$J$8</c:f>
              <c:numCache>
                <c:formatCode>General</c:formatCode>
                <c:ptCount val="5"/>
                <c:pt idx="0">
                  <c:v>89.9</c:v>
                </c:pt>
                <c:pt idx="1">
                  <c:v>169.7</c:v>
                </c:pt>
                <c:pt idx="2">
                  <c:v>88.1</c:v>
                </c:pt>
                <c:pt idx="3">
                  <c:v>129.80000000000001</c:v>
                </c:pt>
                <c:pt idx="4">
                  <c:v>158.30000000000001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5CF-4B4D-9699-BD77C6A2A4B0}"/>
            </c:ext>
          </c:extLst>
        </c:ser>
        <c:ser>
          <c:idx val="1"/>
          <c:order val="1"/>
          <c:tx>
            <c:v>CLS-296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rgbClr val="98DAEC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Feuil1!$I$10:$I$14</c:f>
              <c:numCache>
                <c:formatCode>General</c:formatCode>
                <c:ptCount val="5"/>
                <c:pt idx="0">
                  <c:v>847</c:v>
                </c:pt>
                <c:pt idx="1">
                  <c:v>356</c:v>
                </c:pt>
                <c:pt idx="2">
                  <c:v>853</c:v>
                </c:pt>
                <c:pt idx="3">
                  <c:v>362</c:v>
                </c:pt>
                <c:pt idx="4">
                  <c:v>729</c:v>
                </c:pt>
              </c:numCache>
            </c:numRef>
          </c:xVal>
          <c:yVal>
            <c:numRef>
              <c:f>Feuil1!$J$10:$J$14</c:f>
              <c:numCache>
                <c:formatCode>General</c:formatCode>
                <c:ptCount val="5"/>
                <c:pt idx="0">
                  <c:v>68.099999999999994</c:v>
                </c:pt>
                <c:pt idx="1">
                  <c:v>87</c:v>
                </c:pt>
                <c:pt idx="2">
                  <c:v>131.1</c:v>
                </c:pt>
                <c:pt idx="3">
                  <c:v>264.39999999999998</c:v>
                </c:pt>
                <c:pt idx="4">
                  <c:v>54.4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5CF-4B4D-9699-BD77C6A2A4B0}"/>
            </c:ext>
          </c:extLst>
        </c:ser>
        <c:ser>
          <c:idx val="2"/>
          <c:order val="2"/>
          <c:tx>
            <c:v>CLS-960</c:v>
          </c:tx>
          <c:spPr>
            <a:ln w="25400" cap="rnd">
              <a:noFill/>
              <a:round/>
            </a:ln>
            <a:effectLst/>
          </c:spPr>
          <c:marker>
            <c:symbol val="triangle"/>
            <c:size val="8"/>
            <c:spPr>
              <a:solidFill>
                <a:srgbClr val="98DAEC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Feuil1!$I$16:$I$18</c:f>
              <c:numCache>
                <c:formatCode>General</c:formatCode>
                <c:ptCount val="3"/>
                <c:pt idx="0">
                  <c:v>464</c:v>
                </c:pt>
                <c:pt idx="1">
                  <c:v>403</c:v>
                </c:pt>
                <c:pt idx="2">
                  <c:v>182</c:v>
                </c:pt>
              </c:numCache>
            </c:numRef>
          </c:xVal>
          <c:yVal>
            <c:numRef>
              <c:f>Feuil1!$J$16:$J$18</c:f>
              <c:numCache>
                <c:formatCode>General</c:formatCode>
                <c:ptCount val="3"/>
                <c:pt idx="0">
                  <c:v>193</c:v>
                </c:pt>
                <c:pt idx="1">
                  <c:v>48.7</c:v>
                </c:pt>
                <c:pt idx="2">
                  <c:v>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5CF-4B4D-9699-BD77C6A2A4B0}"/>
            </c:ext>
          </c:extLst>
        </c:ser>
        <c:ser>
          <c:idx val="3"/>
          <c:order val="3"/>
          <c:tx>
            <c:v>CLS-2996</c:v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solidFill>
                <a:srgbClr val="98DAEC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Feuil1!$I$20:$I$21</c:f>
              <c:numCache>
                <c:formatCode>General</c:formatCode>
                <c:ptCount val="2"/>
                <c:pt idx="0">
                  <c:v>183</c:v>
                </c:pt>
                <c:pt idx="1">
                  <c:v>195</c:v>
                </c:pt>
              </c:numCache>
            </c:numRef>
          </c:xVal>
          <c:yVal>
            <c:numRef>
              <c:f>Feuil1!$J$20:$J$21</c:f>
              <c:numCache>
                <c:formatCode>General</c:formatCode>
                <c:ptCount val="2"/>
                <c:pt idx="0">
                  <c:v>162.30000000000001</c:v>
                </c:pt>
                <c:pt idx="1">
                  <c:v>119.7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F5CF-4B4D-9699-BD77C6A2A4B0}"/>
            </c:ext>
          </c:extLst>
        </c:ser>
        <c:ser>
          <c:idx val="4"/>
          <c:order val="4"/>
          <c:tx>
            <c:v>CLS-3305</c:v>
          </c:tx>
          <c:spPr>
            <a:ln w="25400" cap="rnd">
              <a:noFill/>
              <a:round/>
            </a:ln>
            <a:effectLst/>
          </c:spPr>
          <c:marker>
            <c:symbol val="square"/>
            <c:size val="7"/>
            <c:spPr>
              <a:solidFill>
                <a:srgbClr val="98DAEC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Feuil1!$I$23:$I$26</c:f>
              <c:numCache>
                <c:formatCode>General</c:formatCode>
                <c:ptCount val="4"/>
                <c:pt idx="0">
                  <c:v>403</c:v>
                </c:pt>
                <c:pt idx="1">
                  <c:v>229</c:v>
                </c:pt>
                <c:pt idx="2">
                  <c:v>276</c:v>
                </c:pt>
                <c:pt idx="3">
                  <c:v>446</c:v>
                </c:pt>
              </c:numCache>
            </c:numRef>
          </c:xVal>
          <c:yVal>
            <c:numRef>
              <c:f>Feuil1!$J$23:$J$26</c:f>
              <c:numCache>
                <c:formatCode>General</c:formatCode>
                <c:ptCount val="4"/>
                <c:pt idx="0">
                  <c:v>90.6</c:v>
                </c:pt>
                <c:pt idx="1">
                  <c:v>124.4</c:v>
                </c:pt>
                <c:pt idx="2">
                  <c:v>88.8</c:v>
                </c:pt>
                <c:pt idx="3">
                  <c:v>143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F5CF-4B4D-9699-BD77C6A2A4B0}"/>
            </c:ext>
          </c:extLst>
        </c:ser>
        <c:ser>
          <c:idx val="5"/>
          <c:order val="5"/>
          <c:tx>
            <c:v>CLS-3410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8"/>
            <c:spPr>
              <a:solidFill>
                <a:srgbClr val="98DAEC"/>
              </a:solidFill>
              <a:ln w="6350">
                <a:solidFill>
                  <a:schemeClr val="tx1"/>
                </a:solidFill>
              </a:ln>
              <a:effectLst/>
            </c:spPr>
          </c:marker>
          <c:xVal>
            <c:numRef>
              <c:f>Feuil1!$I$28:$I$32</c:f>
              <c:numCache>
                <c:formatCode>General</c:formatCode>
                <c:ptCount val="5"/>
                <c:pt idx="0">
                  <c:v>417</c:v>
                </c:pt>
                <c:pt idx="1">
                  <c:v>590</c:v>
                </c:pt>
                <c:pt idx="2">
                  <c:v>192</c:v>
                </c:pt>
                <c:pt idx="3">
                  <c:v>483</c:v>
                </c:pt>
                <c:pt idx="4">
                  <c:v>480</c:v>
                </c:pt>
              </c:numCache>
            </c:numRef>
          </c:xVal>
          <c:yVal>
            <c:numRef>
              <c:f>Feuil1!$J$28:$J$32</c:f>
              <c:numCache>
                <c:formatCode>General</c:formatCode>
                <c:ptCount val="5"/>
                <c:pt idx="0">
                  <c:v>120.3</c:v>
                </c:pt>
                <c:pt idx="1">
                  <c:v>103</c:v>
                </c:pt>
                <c:pt idx="2">
                  <c:v>126.1</c:v>
                </c:pt>
                <c:pt idx="3">
                  <c:v>151.30000000000001</c:v>
                </c:pt>
                <c:pt idx="4">
                  <c:v>138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5CF-4B4D-9699-BD77C6A2A4B0}"/>
            </c:ext>
          </c:extLst>
        </c:ser>
        <c:ser>
          <c:idx val="6"/>
          <c:order val="6"/>
          <c:tx>
            <c:v>LLS-4416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8"/>
            <c:spPr>
              <a:solidFill>
                <a:srgbClr val="3E7877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Feuil1!$I$34</c:f>
              <c:numCache>
                <c:formatCode>General</c:formatCode>
                <c:ptCount val="1"/>
                <c:pt idx="0">
                  <c:v>275</c:v>
                </c:pt>
              </c:numCache>
            </c:numRef>
          </c:xVal>
          <c:yVal>
            <c:numRef>
              <c:f>Feuil1!$J$34</c:f>
              <c:numCache>
                <c:formatCode>General</c:formatCode>
                <c:ptCount val="1"/>
                <c:pt idx="0">
                  <c:v>175.4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6-F5CF-4B4D-9699-BD77C6A2A4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3032368"/>
        <c:axId val="487749168"/>
      </c:scatterChart>
      <c:valAx>
        <c:axId val="543032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eU (ppm)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7749168"/>
        <c:crosses val="autoZero"/>
        <c:crossBetween val="midCat"/>
      </c:valAx>
      <c:valAx>
        <c:axId val="48774916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uncorrected age (Ma)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54303236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2"/>
          <c:order val="0"/>
          <c:tx>
            <c:v>Bielsa mono-grain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'for-paper'!$M$65:$M$69</c:f>
              <c:numCache>
                <c:formatCode>0.0</c:formatCode>
                <c:ptCount val="5"/>
                <c:pt idx="0">
                  <c:v>7.3041323064965731</c:v>
                </c:pt>
                <c:pt idx="1">
                  <c:v>7.1934609154593252</c:v>
                </c:pt>
                <c:pt idx="2">
                  <c:v>6.2358511041608793</c:v>
                </c:pt>
                <c:pt idx="3">
                  <c:v>5.9506812792833026</c:v>
                </c:pt>
                <c:pt idx="4">
                  <c:v>5.9171674666202971</c:v>
                </c:pt>
              </c:numCache>
            </c:numRef>
          </c:xVal>
          <c:yVal>
            <c:numRef>
              <c:f>'for-paper'!$K$65:$K$69</c:f>
              <c:numCache>
                <c:formatCode>0.00</c:formatCode>
                <c:ptCount val="5"/>
                <c:pt idx="0">
                  <c:v>48.306236559139791</c:v>
                </c:pt>
                <c:pt idx="1">
                  <c:v>25.738961038961037</c:v>
                </c:pt>
                <c:pt idx="2">
                  <c:v>54.936708860759495</c:v>
                </c:pt>
                <c:pt idx="3">
                  <c:v>62.996810933940779</c:v>
                </c:pt>
                <c:pt idx="4">
                  <c:v>80.825116279069761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652-42BC-A8B4-89AE5173274F}"/>
            </c:ext>
          </c:extLst>
        </c:ser>
        <c:ser>
          <c:idx val="3"/>
          <c:order val="1"/>
          <c:tx>
            <c:v>Bielsa multi-grains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'for-paper'!$M$53:$M$63</c:f>
              <c:numCache>
                <c:formatCode>0.0</c:formatCode>
                <c:ptCount val="11"/>
                <c:pt idx="0">
                  <c:v>14.227048601164917</c:v>
                </c:pt>
                <c:pt idx="1">
                  <c:v>13.666788824481024</c:v>
                </c:pt>
                <c:pt idx="3">
                  <c:v>9.6153270645612317</c:v>
                </c:pt>
                <c:pt idx="4">
                  <c:v>7.5485810686624921</c:v>
                </c:pt>
                <c:pt idx="6">
                  <c:v>8.9796819890606496</c:v>
                </c:pt>
                <c:pt idx="7">
                  <c:v>6.6865960835428666</c:v>
                </c:pt>
                <c:pt idx="9">
                  <c:v>5.274535211301516</c:v>
                </c:pt>
                <c:pt idx="10">
                  <c:v>7.8530679228542315</c:v>
                </c:pt>
              </c:numCache>
            </c:numRef>
          </c:xVal>
          <c:yVal>
            <c:numRef>
              <c:f>'for-paper'!$K$53:$K$63</c:f>
              <c:numCache>
                <c:formatCode>0</c:formatCode>
                <c:ptCount val="11"/>
                <c:pt idx="0">
                  <c:v>27.320743212016176</c:v>
                </c:pt>
                <c:pt idx="1">
                  <c:v>25.707412324093816</c:v>
                </c:pt>
                <c:pt idx="3" formatCode="0.00">
                  <c:v>24.291003454657616</c:v>
                </c:pt>
                <c:pt idx="4" formatCode="0.00">
                  <c:v>42.329262053571426</c:v>
                </c:pt>
                <c:pt idx="6" formatCode="0.00">
                  <c:v>25.67230036101083</c:v>
                </c:pt>
                <c:pt idx="7" formatCode="0.00">
                  <c:v>42.697314364640881</c:v>
                </c:pt>
                <c:pt idx="9" formatCode="0.00">
                  <c:v>52.484236046511626</c:v>
                </c:pt>
                <c:pt idx="10" formatCode="0.00">
                  <c:v>45.050509780675753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652-42BC-A8B4-89AE5173274F}"/>
            </c:ext>
          </c:extLst>
        </c:ser>
        <c:ser>
          <c:idx val="0"/>
          <c:order val="2"/>
          <c:tx>
            <c:v>Neouvielle mono-grains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1">
                  <a:lumMod val="65000"/>
                  <a:alpha val="98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('for-paper'!$M$14:$M$25,'for-paper'!$M$30:$M$34,'for-paper'!$M$44:$M$47)</c:f>
              <c:numCache>
                <c:formatCode>General</c:formatCode>
                <c:ptCount val="21"/>
                <c:pt idx="0">
                  <c:v>12.6</c:v>
                </c:pt>
                <c:pt idx="1">
                  <c:v>14.1</c:v>
                </c:pt>
                <c:pt idx="2">
                  <c:v>8.6999999999999993</c:v>
                </c:pt>
                <c:pt idx="4">
                  <c:v>9.3000000000000007</c:v>
                </c:pt>
                <c:pt idx="5">
                  <c:v>9.6</c:v>
                </c:pt>
                <c:pt idx="6">
                  <c:v>12.9</c:v>
                </c:pt>
                <c:pt idx="8">
                  <c:v>7.6</c:v>
                </c:pt>
                <c:pt idx="9">
                  <c:v>17.100000000000001</c:v>
                </c:pt>
                <c:pt idx="10">
                  <c:v>12.8</c:v>
                </c:pt>
                <c:pt idx="11">
                  <c:v>10</c:v>
                </c:pt>
                <c:pt idx="12" formatCode="0.0">
                  <c:v>8.6505271385537146</c:v>
                </c:pt>
                <c:pt idx="13" formatCode="0.0">
                  <c:v>8.1277860257750127</c:v>
                </c:pt>
                <c:pt idx="14" formatCode="0.0">
                  <c:v>11.003832371398069</c:v>
                </c:pt>
                <c:pt idx="15" formatCode="0.0">
                  <c:v>7.3595079548917113</c:v>
                </c:pt>
                <c:pt idx="16" formatCode="0.0">
                  <c:v>7.0976786794367221</c:v>
                </c:pt>
                <c:pt idx="17" formatCode="0.0">
                  <c:v>10.109827508112421</c:v>
                </c:pt>
                <c:pt idx="18" formatCode="0.0">
                  <c:v>8.974381242647226</c:v>
                </c:pt>
                <c:pt idx="19" formatCode="0.0">
                  <c:v>14.068147393433925</c:v>
                </c:pt>
                <c:pt idx="20" formatCode="0.0">
                  <c:v>11.57779598235733</c:v>
                </c:pt>
              </c:numCache>
            </c:numRef>
          </c:xVal>
          <c:yVal>
            <c:numRef>
              <c:f>('for-paper'!$K$14:$K$25,'for-paper'!$K$30:$K$34,'for-paper'!$K$44:$K$47)</c:f>
              <c:numCache>
                <c:formatCode>General</c:formatCode>
                <c:ptCount val="21"/>
                <c:pt idx="0">
                  <c:v>44</c:v>
                </c:pt>
                <c:pt idx="1">
                  <c:v>20</c:v>
                </c:pt>
                <c:pt idx="2">
                  <c:v>45</c:v>
                </c:pt>
                <c:pt idx="4">
                  <c:v>46</c:v>
                </c:pt>
                <c:pt idx="5">
                  <c:v>32</c:v>
                </c:pt>
                <c:pt idx="6">
                  <c:v>53</c:v>
                </c:pt>
                <c:pt idx="8">
                  <c:v>44</c:v>
                </c:pt>
                <c:pt idx="9">
                  <c:v>30</c:v>
                </c:pt>
                <c:pt idx="10">
                  <c:v>82</c:v>
                </c:pt>
                <c:pt idx="11">
                  <c:v>49</c:v>
                </c:pt>
                <c:pt idx="12" formatCode="0.00">
                  <c:v>42.218358831710702</c:v>
                </c:pt>
                <c:pt idx="13" formatCode="0.00">
                  <c:v>46.246808510638296</c:v>
                </c:pt>
                <c:pt idx="14" formatCode="0.00">
                  <c:v>207.23071017274472</c:v>
                </c:pt>
                <c:pt idx="15" formatCode="0.00">
                  <c:v>94.849299719887966</c:v>
                </c:pt>
                <c:pt idx="16" formatCode="0.00">
                  <c:v>41.232515002727773</c:v>
                </c:pt>
                <c:pt idx="17" formatCode="0.00">
                  <c:v>41.58082901554404</c:v>
                </c:pt>
                <c:pt idx="18" formatCode="0.00">
                  <c:v>43.304422253922965</c:v>
                </c:pt>
                <c:pt idx="19" formatCode="0.00">
                  <c:v>44.784510250569483</c:v>
                </c:pt>
                <c:pt idx="20" formatCode="0.00">
                  <c:v>38.271052631578947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6652-42BC-A8B4-89AE5173274F}"/>
            </c:ext>
          </c:extLst>
        </c:ser>
        <c:ser>
          <c:idx val="1"/>
          <c:order val="3"/>
          <c:tx>
            <c:v>Neouvielle multi-grains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('for-paper'!$M$27:$M$28,'for-paper'!$M$36:$M$43,'for-paper'!$M$49:$M$50)</c:f>
              <c:numCache>
                <c:formatCode>0.0</c:formatCode>
                <c:ptCount val="12"/>
                <c:pt idx="0">
                  <c:v>7.7686658399779889</c:v>
                </c:pt>
                <c:pt idx="1">
                  <c:v>7.9049251606839306</c:v>
                </c:pt>
                <c:pt idx="2">
                  <c:v>7.9957834536316907</c:v>
                </c:pt>
                <c:pt idx="3">
                  <c:v>10.124825375473222</c:v>
                </c:pt>
                <c:pt idx="5">
                  <c:v>13.81260510970173</c:v>
                </c:pt>
                <c:pt idx="6">
                  <c:v>10.228883649417121</c:v>
                </c:pt>
                <c:pt idx="8">
                  <c:v>12.543768720036386</c:v>
                </c:pt>
                <c:pt idx="9">
                  <c:v>10.881868595273586</c:v>
                </c:pt>
                <c:pt idx="10">
                  <c:v>8.9745097599768684</c:v>
                </c:pt>
                <c:pt idx="11">
                  <c:v>8.5536038067145466</c:v>
                </c:pt>
              </c:numCache>
            </c:numRef>
          </c:xVal>
          <c:yVal>
            <c:numRef>
              <c:f>('for-paper'!$K$27:$K$28,'for-paper'!$K$36:$K$43,'for-paper'!$K$49:$K$50)</c:f>
              <c:numCache>
                <c:formatCode>0.00</c:formatCode>
                <c:ptCount val="12"/>
                <c:pt idx="0">
                  <c:v>87.434924131179642</c:v>
                </c:pt>
                <c:pt idx="1">
                  <c:v>83.684264295676428</c:v>
                </c:pt>
                <c:pt idx="2">
                  <c:v>108.24199085923217</c:v>
                </c:pt>
                <c:pt idx="3">
                  <c:v>72.998167239404353</c:v>
                </c:pt>
                <c:pt idx="5">
                  <c:v>44.718215504978659</c:v>
                </c:pt>
                <c:pt idx="6">
                  <c:v>65.13219559396299</c:v>
                </c:pt>
                <c:pt idx="8">
                  <c:v>52.832732558139526</c:v>
                </c:pt>
                <c:pt idx="9">
                  <c:v>50.081590726346818</c:v>
                </c:pt>
                <c:pt idx="10">
                  <c:v>70.155158512720163</c:v>
                </c:pt>
                <c:pt idx="11">
                  <c:v>107.49453352769677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6652-42BC-A8B4-89AE5173274F}"/>
            </c:ext>
          </c:extLst>
        </c:ser>
        <c:ser>
          <c:idx val="4"/>
          <c:order val="4"/>
          <c:tx>
            <c:v>Bordères Louron mono-grain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'for-paper'!$M$4:$M$11</c:f>
              <c:numCache>
                <c:formatCode>General</c:formatCode>
                <c:ptCount val="8"/>
                <c:pt idx="0">
                  <c:v>40.9</c:v>
                </c:pt>
                <c:pt idx="1">
                  <c:v>39.700000000000003</c:v>
                </c:pt>
                <c:pt idx="2">
                  <c:v>26.8</c:v>
                </c:pt>
                <c:pt idx="4" formatCode="0.0">
                  <c:v>19.679307245203752</c:v>
                </c:pt>
                <c:pt idx="5" formatCode="0.0">
                  <c:v>31.978683711355899</c:v>
                </c:pt>
                <c:pt idx="7" formatCode="0.0">
                  <c:v>26.432398754874729</c:v>
                </c:pt>
              </c:numCache>
            </c:numRef>
          </c:xVal>
          <c:yVal>
            <c:numRef>
              <c:f>'for-paper'!$K$4:$K$11</c:f>
              <c:numCache>
                <c:formatCode>General</c:formatCode>
                <c:ptCount val="8"/>
                <c:pt idx="0">
                  <c:v>120</c:v>
                </c:pt>
                <c:pt idx="1">
                  <c:v>34</c:v>
                </c:pt>
                <c:pt idx="2">
                  <c:v>31</c:v>
                </c:pt>
                <c:pt idx="4" formatCode="0.00">
                  <c:v>34.691419968304288</c:v>
                </c:pt>
                <c:pt idx="5" formatCode="0.00">
                  <c:v>23.877067039106148</c:v>
                </c:pt>
                <c:pt idx="7" formatCode="0.00">
                  <c:v>28.51956124314442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6652-42BC-A8B4-89AE51732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7751128"/>
        <c:axId val="487750736"/>
      </c:scatterChart>
      <c:valAx>
        <c:axId val="487751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eU (ppm)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7750736"/>
        <c:crosses val="autoZero"/>
        <c:crossBetween val="midCat"/>
      </c:valAx>
      <c:valAx>
        <c:axId val="4877507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uncorrected age (Ma)</a:t>
                </a:r>
                <a:endParaRPr lang="en-US" sz="11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alpha val="93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87751128"/>
        <c:crosses val="autoZero"/>
        <c:crossBetween val="midCat"/>
      </c:valAx>
      <c:spPr>
        <a:noFill/>
        <a:ln w="25400"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FILLON</dc:creator>
  <cp:keywords/>
  <dc:description/>
  <cp:lastModifiedBy>Patricia Pantos</cp:lastModifiedBy>
  <cp:revision>2</cp:revision>
  <dcterms:created xsi:type="dcterms:W3CDTF">2020-11-19T11:13:00Z</dcterms:created>
  <dcterms:modified xsi:type="dcterms:W3CDTF">2020-11-19T11:13:00Z</dcterms:modified>
</cp:coreProperties>
</file>