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5D4A" w:rsidRPr="00E87BEA" w:rsidRDefault="00E15D4A" w:rsidP="001E6018">
      <w:pPr>
        <w:spacing w:line="480" w:lineRule="auto"/>
        <w:jc w:val="both"/>
      </w:pPr>
      <w:r w:rsidRPr="00E87BEA">
        <w:rPr>
          <w:b/>
        </w:rPr>
        <w:t>Appendix</w:t>
      </w:r>
      <w:r w:rsidR="008625D8">
        <w:rPr>
          <w:b/>
        </w:rPr>
        <w:t xml:space="preserve"> 1</w:t>
      </w:r>
    </w:p>
    <w:p w:rsidR="00F3773D" w:rsidRPr="005A3CE7" w:rsidRDefault="00F3773D" w:rsidP="001E6018">
      <w:pPr>
        <w:spacing w:line="480" w:lineRule="auto"/>
        <w:jc w:val="both"/>
        <w:rPr>
          <w:b/>
          <w:i/>
        </w:rPr>
      </w:pPr>
      <w:r>
        <w:rPr>
          <w:b/>
          <w:i/>
        </w:rPr>
        <w:t xml:space="preserve">Additional </w:t>
      </w:r>
      <w:r w:rsidR="005A3CE7">
        <w:rPr>
          <w:b/>
          <w:i/>
        </w:rPr>
        <w:t>Instrument and Standard Details</w:t>
      </w:r>
    </w:p>
    <w:tbl>
      <w:tblPr>
        <w:tblStyle w:val="TableGrid"/>
        <w:tblpPr w:leftFromText="180" w:rightFromText="180" w:vertAnchor="page" w:horzAnchor="margin" w:tblpY="3331"/>
        <w:tblW w:w="580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3118"/>
      </w:tblGrid>
      <w:tr w:rsidR="005A3CE7" w:rsidTr="005A3CE7">
        <w:tc>
          <w:tcPr>
            <w:tcW w:w="5807" w:type="dxa"/>
            <w:gridSpan w:val="2"/>
          </w:tcPr>
          <w:p w:rsidR="005A3CE7" w:rsidRPr="003E1AA4" w:rsidRDefault="005A3CE7" w:rsidP="005A3CE7">
            <w:pPr>
              <w:rPr>
                <w:rFonts w:cstheme="minorHAnsi"/>
                <w:b/>
              </w:rPr>
            </w:pPr>
            <w:r>
              <w:rPr>
                <w:rFonts w:cstheme="minorHAnsi"/>
                <w:b/>
              </w:rPr>
              <w:t>Laser</w:t>
            </w:r>
          </w:p>
        </w:tc>
      </w:tr>
      <w:tr w:rsidR="005A3CE7" w:rsidTr="005A3CE7">
        <w:tc>
          <w:tcPr>
            <w:tcW w:w="2689" w:type="dxa"/>
          </w:tcPr>
          <w:p w:rsidR="005A3CE7" w:rsidRPr="005A2190" w:rsidRDefault="005A3CE7" w:rsidP="005A3CE7">
            <w:pPr>
              <w:rPr>
                <w:rFonts w:cstheme="minorHAnsi"/>
              </w:rPr>
            </w:pPr>
            <w:r w:rsidRPr="005A2190">
              <w:rPr>
                <w:rFonts w:cstheme="minorHAnsi"/>
              </w:rPr>
              <w:t>Brand and Model</w:t>
            </w:r>
          </w:p>
        </w:tc>
        <w:tc>
          <w:tcPr>
            <w:tcW w:w="3118" w:type="dxa"/>
          </w:tcPr>
          <w:p w:rsidR="005A3CE7" w:rsidRPr="005A2190" w:rsidRDefault="005A3CE7" w:rsidP="005A3CE7">
            <w:pPr>
              <w:rPr>
                <w:rFonts w:cstheme="minorHAnsi"/>
              </w:rPr>
            </w:pPr>
            <w:proofErr w:type="spellStart"/>
            <w:r w:rsidRPr="005A2190">
              <w:rPr>
                <w:rFonts w:cstheme="minorHAnsi"/>
              </w:rPr>
              <w:t>RESOlution</w:t>
            </w:r>
            <w:proofErr w:type="spellEnd"/>
            <w:r w:rsidRPr="005A2190">
              <w:rPr>
                <w:rFonts w:cstheme="minorHAnsi"/>
              </w:rPr>
              <w:t xml:space="preserve">-LR 193nm Excimer Laser System </w:t>
            </w:r>
          </w:p>
        </w:tc>
      </w:tr>
      <w:tr w:rsidR="005A3CE7" w:rsidTr="005A3CE7">
        <w:tc>
          <w:tcPr>
            <w:tcW w:w="2689" w:type="dxa"/>
          </w:tcPr>
          <w:p w:rsidR="005A3CE7" w:rsidRPr="00416D99" w:rsidRDefault="005A3CE7" w:rsidP="005A3CE7">
            <w:pPr>
              <w:rPr>
                <w:rFonts w:cstheme="minorHAnsi"/>
              </w:rPr>
            </w:pPr>
            <w:r w:rsidRPr="00416D99">
              <w:rPr>
                <w:rFonts w:cstheme="minorHAnsi"/>
              </w:rPr>
              <w:t>Wavelength</w:t>
            </w:r>
          </w:p>
        </w:tc>
        <w:tc>
          <w:tcPr>
            <w:tcW w:w="3118" w:type="dxa"/>
          </w:tcPr>
          <w:p w:rsidR="005A3CE7" w:rsidRPr="00416D99" w:rsidRDefault="005A3CE7" w:rsidP="005A3CE7">
            <w:pPr>
              <w:rPr>
                <w:rFonts w:cstheme="minorHAnsi"/>
              </w:rPr>
            </w:pPr>
            <w:r w:rsidRPr="00416D99">
              <w:rPr>
                <w:rFonts w:cstheme="minorHAnsi"/>
              </w:rPr>
              <w:t>193</w:t>
            </w:r>
            <w:r>
              <w:rPr>
                <w:rFonts w:cstheme="minorHAnsi"/>
              </w:rPr>
              <w:t xml:space="preserve"> </w:t>
            </w:r>
            <w:r w:rsidRPr="00416D99">
              <w:rPr>
                <w:rFonts w:cstheme="minorHAnsi"/>
              </w:rPr>
              <w:t>nm</w:t>
            </w:r>
          </w:p>
        </w:tc>
      </w:tr>
      <w:tr w:rsidR="005A3CE7" w:rsidTr="005A3CE7">
        <w:tc>
          <w:tcPr>
            <w:tcW w:w="2689" w:type="dxa"/>
          </w:tcPr>
          <w:p w:rsidR="005A3CE7" w:rsidRPr="00416D99" w:rsidRDefault="005A3CE7" w:rsidP="005A3CE7">
            <w:pPr>
              <w:rPr>
                <w:rFonts w:cstheme="minorHAnsi"/>
              </w:rPr>
            </w:pPr>
            <w:r w:rsidRPr="00416D99">
              <w:rPr>
                <w:rFonts w:cstheme="minorHAnsi"/>
              </w:rPr>
              <w:t>Pulse Duration</w:t>
            </w:r>
          </w:p>
        </w:tc>
        <w:tc>
          <w:tcPr>
            <w:tcW w:w="3118" w:type="dxa"/>
          </w:tcPr>
          <w:p w:rsidR="005A3CE7" w:rsidRPr="00416D99" w:rsidRDefault="005A3CE7" w:rsidP="005A3CE7">
            <w:pPr>
              <w:rPr>
                <w:rFonts w:cstheme="minorHAnsi"/>
              </w:rPr>
            </w:pPr>
            <w:r>
              <w:rPr>
                <w:rFonts w:cstheme="minorHAnsi"/>
              </w:rPr>
              <w:t xml:space="preserve">~5 </w:t>
            </w:r>
            <w:r w:rsidRPr="00416D99">
              <w:rPr>
                <w:rFonts w:cstheme="minorHAnsi"/>
              </w:rPr>
              <w:t>ns</w:t>
            </w:r>
          </w:p>
        </w:tc>
      </w:tr>
      <w:tr w:rsidR="005A3CE7" w:rsidTr="005A3CE7">
        <w:tc>
          <w:tcPr>
            <w:tcW w:w="2689" w:type="dxa"/>
          </w:tcPr>
          <w:p w:rsidR="005A3CE7" w:rsidRPr="00416D99" w:rsidRDefault="005A3CE7" w:rsidP="005A3CE7">
            <w:pPr>
              <w:rPr>
                <w:rFonts w:cstheme="minorHAnsi"/>
                <w:lang w:val="nl-BE"/>
              </w:rPr>
            </w:pPr>
            <w:r w:rsidRPr="00416D99">
              <w:rPr>
                <w:rFonts w:cstheme="minorHAnsi"/>
                <w:lang w:val="nl-BE"/>
              </w:rPr>
              <w:t>Spot Size (U-Pb analysis)</w:t>
            </w:r>
          </w:p>
        </w:tc>
        <w:tc>
          <w:tcPr>
            <w:tcW w:w="3118" w:type="dxa"/>
          </w:tcPr>
          <w:p w:rsidR="005A3CE7" w:rsidRPr="00416D99" w:rsidRDefault="005A3CE7" w:rsidP="005A3CE7">
            <w:pPr>
              <w:rPr>
                <w:rFonts w:cstheme="minorHAnsi"/>
              </w:rPr>
            </w:pPr>
            <w:r>
              <w:rPr>
                <w:rFonts w:cstheme="minorHAnsi"/>
              </w:rPr>
              <w:t xml:space="preserve">29 </w:t>
            </w:r>
            <w:proofErr w:type="spellStart"/>
            <w:r>
              <w:rPr>
                <w:rFonts w:cstheme="minorHAnsi"/>
              </w:rPr>
              <w:t>μm</w:t>
            </w:r>
            <w:proofErr w:type="spellEnd"/>
          </w:p>
        </w:tc>
      </w:tr>
      <w:tr w:rsidR="005A3CE7" w:rsidTr="005A3CE7">
        <w:tc>
          <w:tcPr>
            <w:tcW w:w="2689" w:type="dxa"/>
          </w:tcPr>
          <w:p w:rsidR="005A3CE7" w:rsidRPr="00416D99" w:rsidRDefault="005A3CE7" w:rsidP="005A3CE7">
            <w:pPr>
              <w:rPr>
                <w:rFonts w:cstheme="minorHAnsi"/>
              </w:rPr>
            </w:pPr>
            <w:r w:rsidRPr="00416D99">
              <w:rPr>
                <w:rFonts w:cstheme="minorHAnsi"/>
              </w:rPr>
              <w:t>Repetition Rate</w:t>
            </w:r>
          </w:p>
        </w:tc>
        <w:tc>
          <w:tcPr>
            <w:tcW w:w="3118" w:type="dxa"/>
          </w:tcPr>
          <w:p w:rsidR="005A3CE7" w:rsidRPr="00416D99" w:rsidRDefault="005A3CE7" w:rsidP="005A3CE7">
            <w:pPr>
              <w:rPr>
                <w:rFonts w:cstheme="minorHAnsi"/>
              </w:rPr>
            </w:pPr>
            <w:r>
              <w:rPr>
                <w:rFonts w:cstheme="minorHAnsi"/>
              </w:rPr>
              <w:t xml:space="preserve">5 </w:t>
            </w:r>
            <w:r w:rsidRPr="00416D99">
              <w:rPr>
                <w:rFonts w:cstheme="minorHAnsi"/>
              </w:rPr>
              <w:t>Hz</w:t>
            </w:r>
          </w:p>
        </w:tc>
      </w:tr>
      <w:tr w:rsidR="005A3CE7" w:rsidTr="005A3CE7">
        <w:tc>
          <w:tcPr>
            <w:tcW w:w="2689" w:type="dxa"/>
          </w:tcPr>
          <w:p w:rsidR="005A3CE7" w:rsidRPr="00416D99" w:rsidRDefault="005A3CE7" w:rsidP="005A3CE7">
            <w:pPr>
              <w:rPr>
                <w:rFonts w:cstheme="minorHAnsi"/>
              </w:rPr>
            </w:pPr>
            <w:r w:rsidRPr="00416D99">
              <w:rPr>
                <w:rFonts w:cstheme="minorHAnsi"/>
              </w:rPr>
              <w:t>Energy Attenuation</w:t>
            </w:r>
          </w:p>
        </w:tc>
        <w:tc>
          <w:tcPr>
            <w:tcW w:w="3118" w:type="dxa"/>
          </w:tcPr>
          <w:p w:rsidR="005A3CE7" w:rsidRPr="00416D99" w:rsidRDefault="005A3CE7" w:rsidP="005A3CE7">
            <w:pPr>
              <w:rPr>
                <w:rFonts w:cstheme="minorHAnsi"/>
              </w:rPr>
            </w:pPr>
            <w:r>
              <w:rPr>
                <w:rFonts w:cstheme="minorHAnsi"/>
              </w:rPr>
              <w:t>50%</w:t>
            </w:r>
          </w:p>
        </w:tc>
      </w:tr>
      <w:tr w:rsidR="005A3CE7" w:rsidTr="005A3CE7">
        <w:tc>
          <w:tcPr>
            <w:tcW w:w="2689" w:type="dxa"/>
            <w:shd w:val="clear" w:color="auto" w:fill="auto"/>
          </w:tcPr>
          <w:p w:rsidR="005A3CE7" w:rsidRPr="00416D99" w:rsidRDefault="005A3CE7" w:rsidP="005A3CE7">
            <w:pPr>
              <w:rPr>
                <w:rFonts w:cstheme="minorHAnsi"/>
              </w:rPr>
            </w:pPr>
            <w:r w:rsidRPr="00416D99">
              <w:rPr>
                <w:rFonts w:cstheme="minorHAnsi"/>
              </w:rPr>
              <w:t>Laser Fluency</w:t>
            </w:r>
          </w:p>
        </w:tc>
        <w:tc>
          <w:tcPr>
            <w:tcW w:w="3118" w:type="dxa"/>
          </w:tcPr>
          <w:p w:rsidR="005A3CE7" w:rsidRPr="00416D99" w:rsidRDefault="005A3CE7" w:rsidP="005A3CE7">
            <w:pPr>
              <w:rPr>
                <w:rFonts w:cstheme="minorHAnsi"/>
              </w:rPr>
            </w:pPr>
            <w:r>
              <w:rPr>
                <w:rFonts w:cstheme="minorHAnsi"/>
              </w:rPr>
              <w:t>3.5 J</w:t>
            </w:r>
            <w:r w:rsidRPr="00416D99">
              <w:rPr>
                <w:rFonts w:cstheme="minorHAnsi"/>
              </w:rPr>
              <w:t>/cm</w:t>
            </w:r>
            <w:r w:rsidRPr="00416D99">
              <w:rPr>
                <w:rFonts w:cstheme="minorHAnsi"/>
                <w:vertAlign w:val="superscript"/>
              </w:rPr>
              <w:t>2</w:t>
            </w:r>
          </w:p>
        </w:tc>
      </w:tr>
      <w:tr w:rsidR="005A3CE7" w:rsidTr="005A3CE7">
        <w:tc>
          <w:tcPr>
            <w:tcW w:w="5807" w:type="dxa"/>
            <w:gridSpan w:val="2"/>
            <w:shd w:val="clear" w:color="auto" w:fill="auto"/>
          </w:tcPr>
          <w:p w:rsidR="005A3CE7" w:rsidRPr="00416D99" w:rsidRDefault="005A3CE7" w:rsidP="005A3CE7">
            <w:pPr>
              <w:rPr>
                <w:rFonts w:cstheme="minorHAnsi"/>
              </w:rPr>
            </w:pPr>
            <w:r w:rsidRPr="00416D99">
              <w:rPr>
                <w:rFonts w:cstheme="minorHAnsi"/>
                <w:b/>
              </w:rPr>
              <w:t>ICPMS</w:t>
            </w:r>
          </w:p>
        </w:tc>
      </w:tr>
      <w:tr w:rsidR="005A3CE7" w:rsidTr="005A3CE7">
        <w:tc>
          <w:tcPr>
            <w:tcW w:w="2689" w:type="dxa"/>
            <w:shd w:val="clear" w:color="auto" w:fill="auto"/>
          </w:tcPr>
          <w:p w:rsidR="005A3CE7" w:rsidRPr="00416D99" w:rsidRDefault="005A3CE7" w:rsidP="005A3CE7">
            <w:pPr>
              <w:rPr>
                <w:rFonts w:cstheme="minorHAnsi"/>
              </w:rPr>
            </w:pPr>
            <w:r w:rsidRPr="00416D99">
              <w:rPr>
                <w:rFonts w:cstheme="minorHAnsi"/>
              </w:rPr>
              <w:t>Brand and Model</w:t>
            </w:r>
          </w:p>
        </w:tc>
        <w:tc>
          <w:tcPr>
            <w:tcW w:w="3118" w:type="dxa"/>
          </w:tcPr>
          <w:p w:rsidR="005A3CE7" w:rsidRPr="00416D99" w:rsidRDefault="005A3CE7" w:rsidP="005A3CE7">
            <w:pPr>
              <w:rPr>
                <w:rFonts w:cstheme="minorHAnsi"/>
              </w:rPr>
            </w:pPr>
            <w:r w:rsidRPr="00416D99">
              <w:rPr>
                <w:rFonts w:cstheme="minorHAnsi"/>
              </w:rPr>
              <w:t>Agilent 7900x</w:t>
            </w:r>
          </w:p>
        </w:tc>
      </w:tr>
      <w:tr w:rsidR="005A3CE7" w:rsidTr="005A3CE7">
        <w:tc>
          <w:tcPr>
            <w:tcW w:w="2689" w:type="dxa"/>
            <w:shd w:val="clear" w:color="auto" w:fill="auto"/>
          </w:tcPr>
          <w:p w:rsidR="005A3CE7" w:rsidRPr="00416D99" w:rsidRDefault="005A3CE7" w:rsidP="005A3CE7">
            <w:pPr>
              <w:rPr>
                <w:rFonts w:cstheme="minorHAnsi"/>
              </w:rPr>
            </w:pPr>
            <w:r w:rsidRPr="00416D99">
              <w:rPr>
                <w:rFonts w:cstheme="minorHAnsi"/>
              </w:rPr>
              <w:t>Forward Power</w:t>
            </w:r>
          </w:p>
        </w:tc>
        <w:tc>
          <w:tcPr>
            <w:tcW w:w="3118" w:type="dxa"/>
          </w:tcPr>
          <w:p w:rsidR="005A3CE7" w:rsidRPr="00416D99" w:rsidRDefault="005A3CE7" w:rsidP="005A3CE7">
            <w:pPr>
              <w:rPr>
                <w:rFonts w:cstheme="minorHAnsi"/>
              </w:rPr>
            </w:pPr>
            <w:r w:rsidRPr="00416D99">
              <w:rPr>
                <w:rFonts w:cstheme="minorHAnsi"/>
              </w:rPr>
              <w:t>1350</w:t>
            </w:r>
            <w:r w:rsidR="003C7EAF">
              <w:rPr>
                <w:rFonts w:cstheme="minorHAnsi"/>
              </w:rPr>
              <w:t xml:space="preserve"> </w:t>
            </w:r>
            <w:r w:rsidRPr="00416D99">
              <w:rPr>
                <w:rFonts w:cstheme="minorHAnsi"/>
              </w:rPr>
              <w:t>W</w:t>
            </w:r>
          </w:p>
        </w:tc>
      </w:tr>
      <w:tr w:rsidR="005A3CE7" w:rsidTr="005A3CE7">
        <w:tc>
          <w:tcPr>
            <w:tcW w:w="2689" w:type="dxa"/>
            <w:shd w:val="clear" w:color="auto" w:fill="auto"/>
          </w:tcPr>
          <w:p w:rsidR="005A3CE7" w:rsidRPr="00416D99" w:rsidRDefault="005A3CE7" w:rsidP="005A3CE7">
            <w:pPr>
              <w:rPr>
                <w:rFonts w:cstheme="minorHAnsi"/>
              </w:rPr>
            </w:pPr>
            <w:r w:rsidRPr="00416D99">
              <w:rPr>
                <w:rFonts w:cstheme="minorHAnsi"/>
              </w:rPr>
              <w:t>Torch Depth</w:t>
            </w:r>
          </w:p>
        </w:tc>
        <w:tc>
          <w:tcPr>
            <w:tcW w:w="3118" w:type="dxa"/>
          </w:tcPr>
          <w:p w:rsidR="005A3CE7" w:rsidRPr="00416D99" w:rsidRDefault="005A3CE7" w:rsidP="005A3CE7">
            <w:pPr>
              <w:rPr>
                <w:rFonts w:cstheme="minorHAnsi"/>
              </w:rPr>
            </w:pPr>
            <w:r w:rsidRPr="00416D99">
              <w:rPr>
                <w:rFonts w:cstheme="minorHAnsi"/>
              </w:rPr>
              <w:t>4.5</w:t>
            </w:r>
            <w:r w:rsidR="003C7EAF">
              <w:rPr>
                <w:rFonts w:cstheme="minorHAnsi"/>
              </w:rPr>
              <w:t xml:space="preserve"> </w:t>
            </w:r>
            <w:r w:rsidRPr="00416D99">
              <w:rPr>
                <w:rFonts w:cstheme="minorHAnsi"/>
              </w:rPr>
              <w:t>mm</w:t>
            </w:r>
          </w:p>
        </w:tc>
      </w:tr>
      <w:tr w:rsidR="005A3CE7" w:rsidTr="005A3CE7">
        <w:tc>
          <w:tcPr>
            <w:tcW w:w="5807" w:type="dxa"/>
            <w:gridSpan w:val="2"/>
            <w:shd w:val="clear" w:color="auto" w:fill="auto"/>
          </w:tcPr>
          <w:p w:rsidR="005A3CE7" w:rsidRPr="003E1AA4" w:rsidRDefault="005A3CE7" w:rsidP="005A3CE7">
            <w:pPr>
              <w:rPr>
                <w:rFonts w:cstheme="minorHAnsi"/>
                <w:b/>
              </w:rPr>
            </w:pPr>
            <w:r w:rsidRPr="003E1AA4">
              <w:rPr>
                <w:rFonts w:cstheme="minorHAnsi"/>
                <w:b/>
              </w:rPr>
              <w:t>Gas Flows</w:t>
            </w:r>
          </w:p>
        </w:tc>
      </w:tr>
      <w:tr w:rsidR="005A3CE7" w:rsidTr="005A3CE7">
        <w:tc>
          <w:tcPr>
            <w:tcW w:w="2689" w:type="dxa"/>
            <w:shd w:val="clear" w:color="auto" w:fill="auto"/>
          </w:tcPr>
          <w:p w:rsidR="005A3CE7" w:rsidRPr="00416D99" w:rsidRDefault="005A3CE7" w:rsidP="005A3CE7">
            <w:pPr>
              <w:rPr>
                <w:rFonts w:cstheme="minorHAnsi"/>
              </w:rPr>
            </w:pPr>
            <w:r w:rsidRPr="00416D99">
              <w:rPr>
                <w:rFonts w:cstheme="minorHAnsi"/>
              </w:rPr>
              <w:t>Plasma (</w:t>
            </w:r>
            <w:proofErr w:type="spellStart"/>
            <w:r w:rsidRPr="00416D99">
              <w:rPr>
                <w:rFonts w:cstheme="minorHAnsi"/>
              </w:rPr>
              <w:t>Ar</w:t>
            </w:r>
            <w:proofErr w:type="spellEnd"/>
            <w:r w:rsidRPr="00416D99">
              <w:rPr>
                <w:rFonts w:cstheme="minorHAnsi"/>
              </w:rPr>
              <w:t>)</w:t>
            </w:r>
          </w:p>
          <w:p w:rsidR="005A3CE7" w:rsidRPr="00416D99" w:rsidRDefault="005A3CE7" w:rsidP="005A3CE7">
            <w:pPr>
              <w:rPr>
                <w:rFonts w:cstheme="minorHAnsi"/>
              </w:rPr>
            </w:pPr>
            <w:r w:rsidRPr="00416D99">
              <w:rPr>
                <w:rFonts w:cstheme="minorHAnsi"/>
              </w:rPr>
              <w:t>Auxiliary (</w:t>
            </w:r>
            <w:proofErr w:type="spellStart"/>
            <w:r w:rsidRPr="00416D99">
              <w:rPr>
                <w:rFonts w:cstheme="minorHAnsi"/>
              </w:rPr>
              <w:t>Ar</w:t>
            </w:r>
            <w:proofErr w:type="spellEnd"/>
            <w:r w:rsidRPr="00416D99">
              <w:rPr>
                <w:rFonts w:cstheme="minorHAnsi"/>
              </w:rPr>
              <w:t>)</w:t>
            </w:r>
          </w:p>
        </w:tc>
        <w:tc>
          <w:tcPr>
            <w:tcW w:w="3118" w:type="dxa"/>
          </w:tcPr>
          <w:p w:rsidR="005A3CE7" w:rsidRPr="00416D99" w:rsidRDefault="005A3CE7" w:rsidP="005A3CE7">
            <w:pPr>
              <w:rPr>
                <w:rFonts w:cstheme="minorHAnsi"/>
              </w:rPr>
            </w:pPr>
            <w:r w:rsidRPr="00416D99">
              <w:rPr>
                <w:rFonts w:cstheme="minorHAnsi"/>
              </w:rPr>
              <w:t>15</w:t>
            </w:r>
            <w:r w:rsidR="003C7EAF">
              <w:rPr>
                <w:rFonts w:cstheme="minorHAnsi"/>
              </w:rPr>
              <w:t xml:space="preserve"> </w:t>
            </w:r>
            <w:r w:rsidRPr="00416D99">
              <w:rPr>
                <w:rFonts w:cstheme="minorHAnsi"/>
              </w:rPr>
              <w:t>L/min</w:t>
            </w:r>
          </w:p>
          <w:p w:rsidR="005A3CE7" w:rsidRPr="00416D99" w:rsidRDefault="005A3CE7" w:rsidP="005A3CE7">
            <w:pPr>
              <w:rPr>
                <w:rFonts w:cstheme="minorHAnsi"/>
              </w:rPr>
            </w:pPr>
            <w:r w:rsidRPr="00416D99">
              <w:rPr>
                <w:rFonts w:cstheme="minorHAnsi"/>
              </w:rPr>
              <w:t>1</w:t>
            </w:r>
            <w:r w:rsidR="003C7EAF">
              <w:rPr>
                <w:rFonts w:cstheme="minorHAnsi"/>
              </w:rPr>
              <w:t xml:space="preserve"> </w:t>
            </w:r>
            <w:r w:rsidRPr="00416D99">
              <w:rPr>
                <w:rFonts w:cstheme="minorHAnsi"/>
              </w:rPr>
              <w:t>L/min</w:t>
            </w:r>
          </w:p>
        </w:tc>
      </w:tr>
      <w:tr w:rsidR="005A3CE7" w:rsidTr="005A3CE7">
        <w:tc>
          <w:tcPr>
            <w:tcW w:w="2689" w:type="dxa"/>
            <w:shd w:val="clear" w:color="auto" w:fill="auto"/>
          </w:tcPr>
          <w:p w:rsidR="005A3CE7" w:rsidRPr="00416D99" w:rsidRDefault="005A3CE7" w:rsidP="005A3CE7">
            <w:pPr>
              <w:rPr>
                <w:rFonts w:cstheme="minorHAnsi"/>
              </w:rPr>
            </w:pPr>
            <w:r w:rsidRPr="00416D99">
              <w:rPr>
                <w:rFonts w:cstheme="minorHAnsi"/>
              </w:rPr>
              <w:t>Carrier (He)</w:t>
            </w:r>
          </w:p>
        </w:tc>
        <w:tc>
          <w:tcPr>
            <w:tcW w:w="3118" w:type="dxa"/>
          </w:tcPr>
          <w:p w:rsidR="005A3CE7" w:rsidRPr="00416D99" w:rsidRDefault="005A3CE7" w:rsidP="005A3CE7">
            <w:pPr>
              <w:rPr>
                <w:rFonts w:cstheme="minorHAnsi"/>
              </w:rPr>
            </w:pPr>
            <w:r w:rsidRPr="00416D99">
              <w:rPr>
                <w:rFonts w:cstheme="minorHAnsi"/>
              </w:rPr>
              <w:t>07</w:t>
            </w:r>
            <w:r w:rsidR="003C7EAF">
              <w:rPr>
                <w:rFonts w:cstheme="minorHAnsi"/>
              </w:rPr>
              <w:t xml:space="preserve"> </w:t>
            </w:r>
            <w:r w:rsidRPr="00416D99">
              <w:rPr>
                <w:rFonts w:cstheme="minorHAnsi"/>
              </w:rPr>
              <w:t>L/min</w:t>
            </w:r>
          </w:p>
        </w:tc>
      </w:tr>
      <w:tr w:rsidR="005A3CE7" w:rsidTr="005A3CE7">
        <w:tc>
          <w:tcPr>
            <w:tcW w:w="2689" w:type="dxa"/>
            <w:shd w:val="clear" w:color="auto" w:fill="auto"/>
          </w:tcPr>
          <w:p w:rsidR="005A3CE7" w:rsidRPr="00416D99" w:rsidRDefault="005A3CE7" w:rsidP="005A3CE7">
            <w:pPr>
              <w:rPr>
                <w:rFonts w:cstheme="minorHAnsi"/>
              </w:rPr>
            </w:pPr>
            <w:r w:rsidRPr="00416D99">
              <w:rPr>
                <w:rFonts w:cstheme="minorHAnsi"/>
              </w:rPr>
              <w:t>Sample (</w:t>
            </w:r>
            <w:proofErr w:type="spellStart"/>
            <w:r w:rsidRPr="00416D99">
              <w:rPr>
                <w:rFonts w:cstheme="minorHAnsi"/>
              </w:rPr>
              <w:t>Ar</w:t>
            </w:r>
            <w:proofErr w:type="spellEnd"/>
            <w:r w:rsidRPr="00416D99">
              <w:rPr>
                <w:rFonts w:cstheme="minorHAnsi"/>
              </w:rPr>
              <w:t>)</w:t>
            </w:r>
          </w:p>
        </w:tc>
        <w:tc>
          <w:tcPr>
            <w:tcW w:w="3118" w:type="dxa"/>
          </w:tcPr>
          <w:p w:rsidR="005A3CE7" w:rsidRPr="00416D99" w:rsidRDefault="005A3CE7" w:rsidP="005A3CE7">
            <w:pPr>
              <w:rPr>
                <w:rFonts w:cstheme="minorHAnsi"/>
              </w:rPr>
            </w:pPr>
            <w:r w:rsidRPr="00416D99">
              <w:rPr>
                <w:rFonts w:cstheme="minorHAnsi"/>
              </w:rPr>
              <w:t>0.88</w:t>
            </w:r>
            <w:r w:rsidR="003C7EAF">
              <w:rPr>
                <w:rFonts w:cstheme="minorHAnsi"/>
              </w:rPr>
              <w:t xml:space="preserve"> </w:t>
            </w:r>
            <w:r w:rsidRPr="00416D99">
              <w:rPr>
                <w:rFonts w:cstheme="minorHAnsi"/>
              </w:rPr>
              <w:t>L/min</w:t>
            </w:r>
          </w:p>
        </w:tc>
      </w:tr>
      <w:tr w:rsidR="005A3CE7" w:rsidTr="005A3CE7">
        <w:tc>
          <w:tcPr>
            <w:tcW w:w="5807" w:type="dxa"/>
            <w:gridSpan w:val="2"/>
            <w:shd w:val="clear" w:color="auto" w:fill="auto"/>
          </w:tcPr>
          <w:p w:rsidR="005A3CE7" w:rsidRPr="00416D99" w:rsidRDefault="005A3CE7" w:rsidP="005A3CE7">
            <w:pPr>
              <w:rPr>
                <w:rFonts w:cstheme="minorHAnsi"/>
              </w:rPr>
            </w:pPr>
            <w:r w:rsidRPr="00416D99">
              <w:rPr>
                <w:rFonts w:cstheme="minorHAnsi"/>
                <w:b/>
              </w:rPr>
              <w:t>Data Acquisition Parameters</w:t>
            </w:r>
          </w:p>
        </w:tc>
      </w:tr>
      <w:tr w:rsidR="005A3CE7" w:rsidTr="005A3CE7">
        <w:tc>
          <w:tcPr>
            <w:tcW w:w="2689" w:type="dxa"/>
            <w:shd w:val="clear" w:color="auto" w:fill="auto"/>
          </w:tcPr>
          <w:p w:rsidR="005A3CE7" w:rsidRPr="00416D99" w:rsidRDefault="005A3CE7" w:rsidP="005A3CE7">
            <w:pPr>
              <w:rPr>
                <w:rFonts w:cstheme="minorHAnsi"/>
              </w:rPr>
            </w:pPr>
            <w:r w:rsidRPr="00416D99">
              <w:rPr>
                <w:rFonts w:cstheme="minorHAnsi"/>
              </w:rPr>
              <w:t>Data Acquisition Protocol</w:t>
            </w:r>
          </w:p>
        </w:tc>
        <w:tc>
          <w:tcPr>
            <w:tcW w:w="3118" w:type="dxa"/>
          </w:tcPr>
          <w:p w:rsidR="005A3CE7" w:rsidRPr="00416D99" w:rsidRDefault="005A3CE7" w:rsidP="005A3CE7">
            <w:pPr>
              <w:rPr>
                <w:rFonts w:cstheme="minorHAnsi"/>
              </w:rPr>
            </w:pPr>
            <w:r w:rsidRPr="00416D99">
              <w:rPr>
                <w:rFonts w:cstheme="minorHAnsi"/>
              </w:rPr>
              <w:t>Time</w:t>
            </w:r>
            <w:r>
              <w:rPr>
                <w:rFonts w:cstheme="minorHAnsi"/>
              </w:rPr>
              <w:t>-</w:t>
            </w:r>
            <w:r w:rsidRPr="00416D99">
              <w:rPr>
                <w:rFonts w:cstheme="minorHAnsi"/>
              </w:rPr>
              <w:t>resolved analysis</w:t>
            </w:r>
          </w:p>
        </w:tc>
      </w:tr>
      <w:tr w:rsidR="005A3CE7" w:rsidTr="005A3CE7">
        <w:tc>
          <w:tcPr>
            <w:tcW w:w="2689" w:type="dxa"/>
            <w:shd w:val="clear" w:color="auto" w:fill="auto"/>
          </w:tcPr>
          <w:p w:rsidR="005A3CE7" w:rsidRPr="00416D99" w:rsidRDefault="005A3CE7" w:rsidP="005A3CE7">
            <w:pPr>
              <w:rPr>
                <w:rFonts w:cstheme="minorHAnsi"/>
              </w:rPr>
            </w:pPr>
            <w:r w:rsidRPr="00416D99">
              <w:rPr>
                <w:rFonts w:cstheme="minorHAnsi"/>
              </w:rPr>
              <w:t xml:space="preserve">Scanned Isotopes </w:t>
            </w:r>
          </w:p>
        </w:tc>
        <w:tc>
          <w:tcPr>
            <w:tcW w:w="3118" w:type="dxa"/>
          </w:tcPr>
          <w:p w:rsidR="005A3CE7" w:rsidRPr="00416D99" w:rsidRDefault="005A3CE7" w:rsidP="005A3CE7">
            <w:pPr>
              <w:rPr>
                <w:rFonts w:cstheme="minorHAnsi"/>
              </w:rPr>
            </w:pPr>
            <w:r w:rsidRPr="00533F44">
              <w:rPr>
                <w:rFonts w:cstheme="minorHAnsi"/>
                <w:vertAlign w:val="superscript"/>
              </w:rPr>
              <w:t>43</w:t>
            </w:r>
            <w:r w:rsidRPr="00416D99">
              <w:rPr>
                <w:rFonts w:cstheme="minorHAnsi"/>
              </w:rPr>
              <w:t xml:space="preserve">Ca, </w:t>
            </w:r>
            <w:r w:rsidRPr="00533F44">
              <w:rPr>
                <w:rFonts w:cstheme="minorHAnsi"/>
                <w:vertAlign w:val="superscript"/>
              </w:rPr>
              <w:t>29</w:t>
            </w:r>
            <w:r>
              <w:rPr>
                <w:rFonts w:cstheme="minorHAnsi"/>
              </w:rPr>
              <w:t xml:space="preserve">Si, </w:t>
            </w:r>
            <w:r w:rsidRPr="00533F44">
              <w:rPr>
                <w:rFonts w:cstheme="minorHAnsi"/>
                <w:vertAlign w:val="superscript"/>
              </w:rPr>
              <w:t>31</w:t>
            </w:r>
            <w:r>
              <w:rPr>
                <w:rFonts w:cstheme="minorHAnsi"/>
              </w:rPr>
              <w:t xml:space="preserve">P, </w:t>
            </w:r>
            <w:r w:rsidRPr="00533F44">
              <w:rPr>
                <w:rFonts w:cstheme="minorHAnsi"/>
                <w:vertAlign w:val="superscript"/>
              </w:rPr>
              <w:t>35</w:t>
            </w:r>
            <w:r>
              <w:rPr>
                <w:rFonts w:cstheme="minorHAnsi"/>
              </w:rPr>
              <w:t xml:space="preserve">Cl, </w:t>
            </w:r>
            <w:r w:rsidRPr="00533F44">
              <w:rPr>
                <w:rFonts w:cstheme="minorHAnsi"/>
                <w:vertAlign w:val="superscript"/>
              </w:rPr>
              <w:t>51</w:t>
            </w:r>
            <w:r>
              <w:rPr>
                <w:rFonts w:cstheme="minorHAnsi"/>
              </w:rPr>
              <w:t xml:space="preserve">V, </w:t>
            </w:r>
            <w:r w:rsidRPr="00533F44">
              <w:rPr>
                <w:rFonts w:cstheme="minorHAnsi"/>
                <w:vertAlign w:val="superscript"/>
              </w:rPr>
              <w:t>55</w:t>
            </w:r>
            <w:r>
              <w:rPr>
                <w:rFonts w:cstheme="minorHAnsi"/>
              </w:rPr>
              <w:t xml:space="preserve">Mn, </w:t>
            </w:r>
            <w:r w:rsidRPr="00533F44">
              <w:rPr>
                <w:rFonts w:cstheme="minorHAnsi"/>
                <w:vertAlign w:val="superscript"/>
              </w:rPr>
              <w:t>88</w:t>
            </w:r>
            <w:r>
              <w:rPr>
                <w:rFonts w:cstheme="minorHAnsi"/>
              </w:rPr>
              <w:t xml:space="preserve">Sr, </w:t>
            </w:r>
            <w:r w:rsidRPr="00533F44">
              <w:rPr>
                <w:rFonts w:cstheme="minorHAnsi"/>
                <w:vertAlign w:val="superscript"/>
              </w:rPr>
              <w:t>89</w:t>
            </w:r>
            <w:r>
              <w:rPr>
                <w:rFonts w:cstheme="minorHAnsi"/>
              </w:rPr>
              <w:t xml:space="preserve">Y, </w:t>
            </w:r>
            <w:r w:rsidRPr="00533F44">
              <w:rPr>
                <w:rFonts w:cstheme="minorHAnsi"/>
                <w:vertAlign w:val="superscript"/>
              </w:rPr>
              <w:t>90</w:t>
            </w:r>
            <w:r>
              <w:rPr>
                <w:rFonts w:cstheme="minorHAnsi"/>
              </w:rPr>
              <w:t xml:space="preserve">Zr, </w:t>
            </w:r>
            <w:r w:rsidRPr="00533F44">
              <w:rPr>
                <w:rFonts w:cstheme="minorHAnsi"/>
                <w:vertAlign w:val="superscript"/>
              </w:rPr>
              <w:t>139</w:t>
            </w:r>
            <w:r>
              <w:rPr>
                <w:rFonts w:cstheme="minorHAnsi"/>
              </w:rPr>
              <w:t xml:space="preserve">La, </w:t>
            </w:r>
            <w:r w:rsidRPr="00533F44">
              <w:rPr>
                <w:rFonts w:cstheme="minorHAnsi"/>
                <w:vertAlign w:val="superscript"/>
              </w:rPr>
              <w:t>140</w:t>
            </w:r>
            <w:r>
              <w:rPr>
                <w:rFonts w:cstheme="minorHAnsi"/>
              </w:rPr>
              <w:t xml:space="preserve">Ce, </w:t>
            </w:r>
            <w:r w:rsidRPr="00533F44">
              <w:rPr>
                <w:rFonts w:cstheme="minorHAnsi"/>
                <w:vertAlign w:val="superscript"/>
              </w:rPr>
              <w:t>141</w:t>
            </w:r>
            <w:r>
              <w:rPr>
                <w:rFonts w:cstheme="minorHAnsi"/>
              </w:rPr>
              <w:t xml:space="preserve">Pr, </w:t>
            </w:r>
            <w:r w:rsidRPr="00533F44">
              <w:rPr>
                <w:rFonts w:cstheme="minorHAnsi"/>
                <w:vertAlign w:val="superscript"/>
              </w:rPr>
              <w:t>146</w:t>
            </w:r>
            <w:r>
              <w:rPr>
                <w:rFonts w:cstheme="minorHAnsi"/>
              </w:rPr>
              <w:t xml:space="preserve">Nd, </w:t>
            </w:r>
            <w:r w:rsidRPr="00533F44">
              <w:rPr>
                <w:rFonts w:cstheme="minorHAnsi"/>
                <w:vertAlign w:val="superscript"/>
              </w:rPr>
              <w:t>147</w:t>
            </w:r>
            <w:r>
              <w:rPr>
                <w:rFonts w:cstheme="minorHAnsi"/>
              </w:rPr>
              <w:t xml:space="preserve">Sm, </w:t>
            </w:r>
            <w:r w:rsidRPr="00533F44">
              <w:rPr>
                <w:rFonts w:cstheme="minorHAnsi"/>
                <w:vertAlign w:val="superscript"/>
              </w:rPr>
              <w:t>153</w:t>
            </w:r>
            <w:r>
              <w:rPr>
                <w:rFonts w:cstheme="minorHAnsi"/>
              </w:rPr>
              <w:t xml:space="preserve">Eu, </w:t>
            </w:r>
            <w:r w:rsidRPr="00533F44">
              <w:rPr>
                <w:rFonts w:cstheme="minorHAnsi"/>
                <w:vertAlign w:val="superscript"/>
              </w:rPr>
              <w:t>157</w:t>
            </w:r>
            <w:r>
              <w:rPr>
                <w:rFonts w:cstheme="minorHAnsi"/>
              </w:rPr>
              <w:t xml:space="preserve">Gd, </w:t>
            </w:r>
            <w:r w:rsidRPr="00533F44">
              <w:rPr>
                <w:rFonts w:cstheme="minorHAnsi"/>
                <w:vertAlign w:val="superscript"/>
              </w:rPr>
              <w:t>159</w:t>
            </w:r>
            <w:r>
              <w:rPr>
                <w:rFonts w:cstheme="minorHAnsi"/>
              </w:rPr>
              <w:t xml:space="preserve">Tb, </w:t>
            </w:r>
            <w:r w:rsidRPr="00533F44">
              <w:rPr>
                <w:rFonts w:cstheme="minorHAnsi"/>
                <w:vertAlign w:val="superscript"/>
              </w:rPr>
              <w:t>163</w:t>
            </w:r>
            <w:r>
              <w:rPr>
                <w:rFonts w:cstheme="minorHAnsi"/>
              </w:rPr>
              <w:t xml:space="preserve">Dy, </w:t>
            </w:r>
            <w:r w:rsidRPr="00533F44">
              <w:rPr>
                <w:rFonts w:cstheme="minorHAnsi"/>
                <w:vertAlign w:val="superscript"/>
              </w:rPr>
              <w:t>165</w:t>
            </w:r>
            <w:r>
              <w:rPr>
                <w:rFonts w:cstheme="minorHAnsi"/>
              </w:rPr>
              <w:t xml:space="preserve">Ho, </w:t>
            </w:r>
            <w:r w:rsidRPr="00533F44">
              <w:rPr>
                <w:rFonts w:cstheme="minorHAnsi"/>
                <w:vertAlign w:val="superscript"/>
              </w:rPr>
              <w:t>166</w:t>
            </w:r>
            <w:r>
              <w:rPr>
                <w:rFonts w:cstheme="minorHAnsi"/>
              </w:rPr>
              <w:t xml:space="preserve">Er, </w:t>
            </w:r>
            <w:r w:rsidRPr="00533F44">
              <w:rPr>
                <w:rFonts w:cstheme="minorHAnsi"/>
                <w:vertAlign w:val="superscript"/>
              </w:rPr>
              <w:t>169</w:t>
            </w:r>
            <w:r>
              <w:rPr>
                <w:rFonts w:cstheme="minorHAnsi"/>
              </w:rPr>
              <w:t xml:space="preserve">Tm, </w:t>
            </w:r>
            <w:r w:rsidRPr="00533F44">
              <w:rPr>
                <w:rFonts w:cstheme="minorHAnsi"/>
                <w:vertAlign w:val="superscript"/>
              </w:rPr>
              <w:t>172</w:t>
            </w:r>
            <w:r>
              <w:rPr>
                <w:rFonts w:cstheme="minorHAnsi"/>
              </w:rPr>
              <w:t xml:space="preserve">Yb, </w:t>
            </w:r>
            <w:r w:rsidRPr="00533F44">
              <w:rPr>
                <w:rFonts w:cstheme="minorHAnsi"/>
                <w:vertAlign w:val="superscript"/>
              </w:rPr>
              <w:t>175</w:t>
            </w:r>
            <w:r>
              <w:rPr>
                <w:rFonts w:cstheme="minorHAnsi"/>
              </w:rPr>
              <w:t xml:space="preserve">Lu, </w:t>
            </w:r>
            <w:r w:rsidRPr="00533F44">
              <w:rPr>
                <w:rFonts w:cstheme="minorHAnsi"/>
                <w:vertAlign w:val="superscript"/>
              </w:rPr>
              <w:t>201</w:t>
            </w:r>
            <w:r w:rsidRPr="00416D99">
              <w:rPr>
                <w:rFonts w:cstheme="minorHAnsi"/>
              </w:rPr>
              <w:t>Hg</w:t>
            </w:r>
            <w:r>
              <w:rPr>
                <w:rFonts w:cstheme="minorHAnsi"/>
              </w:rPr>
              <w:t>,</w:t>
            </w:r>
            <w:r w:rsidRPr="00416D99">
              <w:rPr>
                <w:rFonts w:cstheme="minorHAnsi"/>
              </w:rPr>
              <w:t xml:space="preserve"> </w:t>
            </w:r>
            <w:r w:rsidRPr="00533F44">
              <w:rPr>
                <w:rFonts w:cstheme="minorHAnsi"/>
                <w:vertAlign w:val="superscript"/>
              </w:rPr>
              <w:t>204</w:t>
            </w:r>
            <w:r w:rsidRPr="00416D99">
              <w:rPr>
                <w:rFonts w:cstheme="minorHAnsi"/>
              </w:rPr>
              <w:t xml:space="preserve">Pb, </w:t>
            </w:r>
            <w:r w:rsidRPr="00533F44">
              <w:rPr>
                <w:rFonts w:cstheme="minorHAnsi"/>
                <w:vertAlign w:val="superscript"/>
              </w:rPr>
              <w:t>206</w:t>
            </w:r>
            <w:r w:rsidRPr="00416D99">
              <w:rPr>
                <w:rFonts w:cstheme="minorHAnsi"/>
              </w:rPr>
              <w:t xml:space="preserve">Pb, </w:t>
            </w:r>
            <w:r w:rsidRPr="00533F44">
              <w:rPr>
                <w:rFonts w:cstheme="minorHAnsi"/>
                <w:vertAlign w:val="superscript"/>
              </w:rPr>
              <w:t>207</w:t>
            </w:r>
            <w:r w:rsidRPr="00416D99">
              <w:rPr>
                <w:rFonts w:cstheme="minorHAnsi"/>
              </w:rPr>
              <w:t xml:space="preserve">Pb, </w:t>
            </w:r>
            <w:r w:rsidRPr="00533F44">
              <w:rPr>
                <w:rFonts w:cstheme="minorHAnsi"/>
                <w:vertAlign w:val="superscript"/>
              </w:rPr>
              <w:t>208</w:t>
            </w:r>
            <w:r w:rsidRPr="00416D99">
              <w:rPr>
                <w:rFonts w:cstheme="minorHAnsi"/>
              </w:rPr>
              <w:t xml:space="preserve">Pb, </w:t>
            </w:r>
            <w:r w:rsidRPr="00533F44">
              <w:rPr>
                <w:rFonts w:cstheme="minorHAnsi"/>
                <w:vertAlign w:val="superscript"/>
              </w:rPr>
              <w:t>232</w:t>
            </w:r>
            <w:r w:rsidRPr="00416D99">
              <w:rPr>
                <w:rFonts w:cstheme="minorHAnsi"/>
              </w:rPr>
              <w:t xml:space="preserve">Th </w:t>
            </w:r>
            <w:r>
              <w:rPr>
                <w:rFonts w:cstheme="minorHAnsi"/>
              </w:rPr>
              <w:t xml:space="preserve">&amp; </w:t>
            </w:r>
            <w:r w:rsidRPr="00533F44">
              <w:rPr>
                <w:rFonts w:cstheme="minorHAnsi"/>
                <w:vertAlign w:val="superscript"/>
              </w:rPr>
              <w:t>238</w:t>
            </w:r>
            <w:r w:rsidRPr="00416D99">
              <w:rPr>
                <w:rFonts w:cstheme="minorHAnsi"/>
              </w:rPr>
              <w:t>U</w:t>
            </w:r>
          </w:p>
        </w:tc>
      </w:tr>
      <w:tr w:rsidR="005A3CE7" w:rsidTr="005A3CE7">
        <w:tc>
          <w:tcPr>
            <w:tcW w:w="2689" w:type="dxa"/>
            <w:shd w:val="clear" w:color="auto" w:fill="auto"/>
          </w:tcPr>
          <w:p w:rsidR="005A3CE7" w:rsidRPr="00416D99" w:rsidRDefault="005A3CE7" w:rsidP="005A3CE7">
            <w:pPr>
              <w:rPr>
                <w:rFonts w:cstheme="minorHAnsi"/>
              </w:rPr>
            </w:pPr>
            <w:r w:rsidRPr="00416D99">
              <w:rPr>
                <w:rFonts w:cstheme="minorHAnsi"/>
              </w:rPr>
              <w:t>Detector Mode</w:t>
            </w:r>
          </w:p>
        </w:tc>
        <w:tc>
          <w:tcPr>
            <w:tcW w:w="3118" w:type="dxa"/>
          </w:tcPr>
          <w:p w:rsidR="005A3CE7" w:rsidRPr="00416D99" w:rsidRDefault="005A3CE7" w:rsidP="005A3CE7">
            <w:pPr>
              <w:rPr>
                <w:rFonts w:cstheme="minorHAnsi"/>
              </w:rPr>
            </w:pPr>
            <w:r w:rsidRPr="00416D99">
              <w:rPr>
                <w:rFonts w:cstheme="minorHAnsi"/>
              </w:rPr>
              <w:t>Peak Hopping, Pulse &amp; Analog counting</w:t>
            </w:r>
          </w:p>
        </w:tc>
      </w:tr>
      <w:tr w:rsidR="005A3CE7" w:rsidTr="005A3CE7">
        <w:tc>
          <w:tcPr>
            <w:tcW w:w="2689" w:type="dxa"/>
            <w:shd w:val="clear" w:color="auto" w:fill="auto"/>
          </w:tcPr>
          <w:p w:rsidR="005A3CE7" w:rsidRPr="00416D99" w:rsidRDefault="005A3CE7" w:rsidP="005A3CE7">
            <w:pPr>
              <w:rPr>
                <w:rFonts w:cstheme="minorHAnsi"/>
              </w:rPr>
            </w:pPr>
            <w:r w:rsidRPr="00416D99">
              <w:rPr>
                <w:rFonts w:cstheme="minorHAnsi"/>
              </w:rPr>
              <w:t>Background Collection</w:t>
            </w:r>
          </w:p>
        </w:tc>
        <w:tc>
          <w:tcPr>
            <w:tcW w:w="3118" w:type="dxa"/>
          </w:tcPr>
          <w:p w:rsidR="005A3CE7" w:rsidRPr="00416D99" w:rsidRDefault="005A3CE7" w:rsidP="005A3CE7">
            <w:pPr>
              <w:rPr>
                <w:rFonts w:cstheme="minorHAnsi"/>
              </w:rPr>
            </w:pPr>
            <w:r>
              <w:rPr>
                <w:rFonts w:cstheme="minorHAnsi"/>
              </w:rPr>
              <w:t>28</w:t>
            </w:r>
            <w:r w:rsidRPr="00416D99">
              <w:rPr>
                <w:rFonts w:cstheme="minorHAnsi"/>
              </w:rPr>
              <w:t xml:space="preserve"> </w:t>
            </w:r>
            <w:r>
              <w:rPr>
                <w:rFonts w:cstheme="minorHAnsi"/>
              </w:rPr>
              <w:t>s</w:t>
            </w:r>
          </w:p>
        </w:tc>
      </w:tr>
      <w:tr w:rsidR="005A3CE7" w:rsidTr="005A3CE7">
        <w:tc>
          <w:tcPr>
            <w:tcW w:w="2689" w:type="dxa"/>
            <w:shd w:val="clear" w:color="auto" w:fill="auto"/>
          </w:tcPr>
          <w:p w:rsidR="005A3CE7" w:rsidRPr="00416D99" w:rsidRDefault="005A3CE7" w:rsidP="005A3CE7">
            <w:pPr>
              <w:rPr>
                <w:rFonts w:cstheme="minorHAnsi"/>
              </w:rPr>
            </w:pPr>
            <w:r w:rsidRPr="00416D99">
              <w:rPr>
                <w:rFonts w:cstheme="minorHAnsi"/>
              </w:rPr>
              <w:t>Ablation for Age Calculation</w:t>
            </w:r>
          </w:p>
        </w:tc>
        <w:tc>
          <w:tcPr>
            <w:tcW w:w="3118" w:type="dxa"/>
          </w:tcPr>
          <w:p w:rsidR="005A3CE7" w:rsidRPr="00416D99" w:rsidRDefault="005A3CE7" w:rsidP="005A3CE7">
            <w:pPr>
              <w:rPr>
                <w:rFonts w:cstheme="minorHAnsi"/>
              </w:rPr>
            </w:pPr>
            <w:r w:rsidRPr="00416D99">
              <w:rPr>
                <w:rFonts w:cstheme="minorHAnsi"/>
              </w:rPr>
              <w:t xml:space="preserve">30 </w:t>
            </w:r>
            <w:r>
              <w:rPr>
                <w:rFonts w:cstheme="minorHAnsi"/>
              </w:rPr>
              <w:t>s</w:t>
            </w:r>
          </w:p>
        </w:tc>
      </w:tr>
      <w:tr w:rsidR="005A3CE7" w:rsidTr="005A3CE7">
        <w:tc>
          <w:tcPr>
            <w:tcW w:w="2689" w:type="dxa"/>
            <w:shd w:val="clear" w:color="auto" w:fill="auto"/>
          </w:tcPr>
          <w:p w:rsidR="005A3CE7" w:rsidRPr="00416D99" w:rsidRDefault="005A3CE7" w:rsidP="005A3CE7">
            <w:pPr>
              <w:rPr>
                <w:rFonts w:cstheme="minorHAnsi"/>
              </w:rPr>
            </w:pPr>
            <w:r w:rsidRPr="00416D99">
              <w:rPr>
                <w:rFonts w:cstheme="minorHAnsi"/>
              </w:rPr>
              <w:t>Washout</w:t>
            </w:r>
          </w:p>
        </w:tc>
        <w:tc>
          <w:tcPr>
            <w:tcW w:w="3118" w:type="dxa"/>
          </w:tcPr>
          <w:p w:rsidR="005A3CE7" w:rsidRPr="00416D99" w:rsidRDefault="005A3CE7" w:rsidP="005A3CE7">
            <w:pPr>
              <w:rPr>
                <w:rFonts w:cstheme="minorHAnsi"/>
              </w:rPr>
            </w:pPr>
            <w:r w:rsidRPr="00416D99">
              <w:rPr>
                <w:rFonts w:cstheme="minorHAnsi"/>
              </w:rPr>
              <w:t>20</w:t>
            </w:r>
            <w:r>
              <w:rPr>
                <w:rFonts w:cstheme="minorHAnsi"/>
              </w:rPr>
              <w:t xml:space="preserve"> s</w:t>
            </w:r>
          </w:p>
        </w:tc>
      </w:tr>
      <w:tr w:rsidR="005A3CE7" w:rsidTr="005A3CE7">
        <w:tc>
          <w:tcPr>
            <w:tcW w:w="5807" w:type="dxa"/>
            <w:gridSpan w:val="2"/>
            <w:shd w:val="clear" w:color="auto" w:fill="auto"/>
          </w:tcPr>
          <w:p w:rsidR="005A3CE7" w:rsidRPr="00416D99" w:rsidRDefault="005A3CE7" w:rsidP="005A3CE7">
            <w:pPr>
              <w:rPr>
                <w:rFonts w:cstheme="minorHAnsi"/>
              </w:rPr>
            </w:pPr>
            <w:r w:rsidRPr="00416D99">
              <w:rPr>
                <w:rFonts w:cstheme="minorHAnsi"/>
                <w:b/>
              </w:rPr>
              <w:t>Standards</w:t>
            </w:r>
          </w:p>
        </w:tc>
      </w:tr>
      <w:tr w:rsidR="005A3CE7" w:rsidTr="005A3CE7">
        <w:tc>
          <w:tcPr>
            <w:tcW w:w="2689" w:type="dxa"/>
          </w:tcPr>
          <w:p w:rsidR="005A3CE7" w:rsidRPr="00416D99" w:rsidRDefault="005A3CE7" w:rsidP="005A3CE7">
            <w:pPr>
              <w:rPr>
                <w:rFonts w:cstheme="minorHAnsi"/>
              </w:rPr>
            </w:pPr>
            <w:r w:rsidRPr="00416D99">
              <w:rPr>
                <w:rFonts w:cstheme="minorHAnsi"/>
              </w:rPr>
              <w:t>Primary Standards (U</w:t>
            </w:r>
            <w:r w:rsidR="008A2C7A">
              <w:t>–</w:t>
            </w:r>
            <w:proofErr w:type="spellStart"/>
            <w:r w:rsidRPr="00416D99">
              <w:rPr>
                <w:rFonts w:cstheme="minorHAnsi"/>
              </w:rPr>
              <w:t>Pb</w:t>
            </w:r>
            <w:proofErr w:type="spellEnd"/>
            <w:r w:rsidRPr="00416D99">
              <w:rPr>
                <w:rFonts w:cstheme="minorHAnsi"/>
              </w:rPr>
              <w:t xml:space="preserve"> analysis)</w:t>
            </w:r>
          </w:p>
        </w:tc>
        <w:tc>
          <w:tcPr>
            <w:tcW w:w="3118" w:type="dxa"/>
          </w:tcPr>
          <w:p w:rsidR="005A3CE7" w:rsidRPr="00416D99" w:rsidRDefault="005A3CE7" w:rsidP="005A3CE7">
            <w:pPr>
              <w:rPr>
                <w:rFonts w:cstheme="minorHAnsi"/>
              </w:rPr>
            </w:pPr>
            <w:r>
              <w:rPr>
                <w:rFonts w:cstheme="minorHAnsi"/>
              </w:rPr>
              <w:t>Madagascar apatite</w:t>
            </w:r>
          </w:p>
        </w:tc>
      </w:tr>
      <w:tr w:rsidR="005A3CE7" w:rsidTr="005A3CE7">
        <w:tc>
          <w:tcPr>
            <w:tcW w:w="2689" w:type="dxa"/>
          </w:tcPr>
          <w:p w:rsidR="005A3CE7" w:rsidRPr="00416D99" w:rsidRDefault="005A3CE7" w:rsidP="005A3CE7">
            <w:pPr>
              <w:rPr>
                <w:rFonts w:cstheme="minorHAnsi"/>
              </w:rPr>
            </w:pPr>
            <w:r w:rsidRPr="00416D99">
              <w:rPr>
                <w:rFonts w:cstheme="minorHAnsi"/>
              </w:rPr>
              <w:t>Primary Standards (</w:t>
            </w:r>
            <w:r>
              <w:rPr>
                <w:rFonts w:cstheme="minorHAnsi"/>
              </w:rPr>
              <w:t>trace element</w:t>
            </w:r>
            <w:r w:rsidRPr="00416D99">
              <w:rPr>
                <w:rFonts w:cstheme="minorHAnsi"/>
              </w:rPr>
              <w:t>)</w:t>
            </w:r>
          </w:p>
        </w:tc>
        <w:tc>
          <w:tcPr>
            <w:tcW w:w="3118" w:type="dxa"/>
          </w:tcPr>
          <w:p w:rsidR="005A3CE7" w:rsidRPr="00416D99" w:rsidRDefault="005A3CE7" w:rsidP="005A3CE7">
            <w:pPr>
              <w:rPr>
                <w:rFonts w:cstheme="minorHAnsi"/>
              </w:rPr>
            </w:pPr>
            <w:r>
              <w:rPr>
                <w:rFonts w:cstheme="minorHAnsi"/>
              </w:rPr>
              <w:t>NIST610</w:t>
            </w:r>
          </w:p>
        </w:tc>
      </w:tr>
      <w:tr w:rsidR="005A3CE7" w:rsidTr="005A3CE7">
        <w:tc>
          <w:tcPr>
            <w:tcW w:w="2689" w:type="dxa"/>
          </w:tcPr>
          <w:p w:rsidR="005A3CE7" w:rsidRPr="00416D99" w:rsidRDefault="005A3CE7" w:rsidP="005A3CE7">
            <w:pPr>
              <w:rPr>
                <w:rFonts w:cstheme="minorHAnsi"/>
              </w:rPr>
            </w:pPr>
            <w:r>
              <w:rPr>
                <w:rFonts w:cstheme="minorHAnsi"/>
              </w:rPr>
              <w:t xml:space="preserve">Secondary Standards </w:t>
            </w:r>
          </w:p>
        </w:tc>
        <w:tc>
          <w:tcPr>
            <w:tcW w:w="3118" w:type="dxa"/>
          </w:tcPr>
          <w:p w:rsidR="005A3CE7" w:rsidRPr="00416D99" w:rsidRDefault="005A3CE7" w:rsidP="005315C0">
            <w:pPr>
              <w:rPr>
                <w:rFonts w:cstheme="minorHAnsi"/>
              </w:rPr>
            </w:pPr>
            <w:r>
              <w:rPr>
                <w:rFonts w:cstheme="minorHAnsi"/>
              </w:rPr>
              <w:t>Durango apatite, McClure apatite</w:t>
            </w:r>
          </w:p>
        </w:tc>
      </w:tr>
    </w:tbl>
    <w:p w:rsidR="001E6018" w:rsidRDefault="005A3CE7" w:rsidP="001E6018">
      <w:pPr>
        <w:spacing w:line="480" w:lineRule="auto"/>
        <w:jc w:val="both"/>
      </w:pPr>
      <w:r>
        <w:rPr>
          <w:b/>
        </w:rPr>
        <w:t>Table S1</w:t>
      </w:r>
      <w:r w:rsidR="00A95F33">
        <w:rPr>
          <w:b/>
        </w:rPr>
        <w:t>.</w:t>
      </w:r>
      <w:r>
        <w:rPr>
          <w:b/>
        </w:rPr>
        <w:t xml:space="preserve"> </w:t>
      </w:r>
      <w:r w:rsidR="003C7EAF">
        <w:rPr>
          <w:i/>
        </w:rPr>
        <w:t>LA–</w:t>
      </w:r>
      <w:r w:rsidRPr="0000738F">
        <w:rPr>
          <w:i/>
        </w:rPr>
        <w:t>ICP</w:t>
      </w:r>
      <w:r w:rsidR="003C7EAF">
        <w:rPr>
          <w:i/>
        </w:rPr>
        <w:t>–</w:t>
      </w:r>
      <w:r w:rsidRPr="0000738F">
        <w:rPr>
          <w:i/>
        </w:rPr>
        <w:t>MS analytical parameters for apatite U</w:t>
      </w:r>
      <w:r w:rsidR="003C7EAF">
        <w:rPr>
          <w:i/>
        </w:rPr>
        <w:t>–</w:t>
      </w:r>
      <w:proofErr w:type="spellStart"/>
      <w:r w:rsidRPr="0000738F">
        <w:rPr>
          <w:i/>
        </w:rPr>
        <w:t>Pb</w:t>
      </w:r>
      <w:proofErr w:type="spellEnd"/>
      <w:r w:rsidRPr="0000738F">
        <w:rPr>
          <w:i/>
        </w:rPr>
        <w:t xml:space="preserve"> dating and trace element quantification</w:t>
      </w:r>
    </w:p>
    <w:p w:rsidR="005A3CE7" w:rsidRDefault="005A3CE7" w:rsidP="001E6018">
      <w:pPr>
        <w:spacing w:line="480" w:lineRule="auto"/>
        <w:jc w:val="both"/>
      </w:pPr>
    </w:p>
    <w:p w:rsidR="005A3CE7" w:rsidRDefault="005A3CE7" w:rsidP="001E6018">
      <w:pPr>
        <w:spacing w:line="480" w:lineRule="auto"/>
        <w:jc w:val="both"/>
      </w:pPr>
    </w:p>
    <w:p w:rsidR="005A3CE7" w:rsidRDefault="005A3CE7" w:rsidP="001E6018">
      <w:pPr>
        <w:spacing w:line="480" w:lineRule="auto"/>
        <w:jc w:val="both"/>
      </w:pPr>
    </w:p>
    <w:p w:rsidR="005A3CE7" w:rsidRDefault="005A3CE7" w:rsidP="001E6018">
      <w:pPr>
        <w:spacing w:line="480" w:lineRule="auto"/>
        <w:jc w:val="both"/>
      </w:pPr>
    </w:p>
    <w:p w:rsidR="005A3CE7" w:rsidRDefault="005A3CE7" w:rsidP="001E6018">
      <w:pPr>
        <w:spacing w:line="480" w:lineRule="auto"/>
        <w:jc w:val="both"/>
      </w:pPr>
    </w:p>
    <w:p w:rsidR="005A3CE7" w:rsidRDefault="005A3CE7" w:rsidP="001E6018">
      <w:pPr>
        <w:spacing w:line="480" w:lineRule="auto"/>
        <w:jc w:val="both"/>
      </w:pPr>
    </w:p>
    <w:p w:rsidR="005A3CE7" w:rsidRDefault="005A3CE7" w:rsidP="001E6018">
      <w:pPr>
        <w:spacing w:line="480" w:lineRule="auto"/>
        <w:jc w:val="both"/>
      </w:pPr>
    </w:p>
    <w:p w:rsidR="005A3CE7" w:rsidRDefault="005A3CE7" w:rsidP="001E6018">
      <w:pPr>
        <w:spacing w:line="480" w:lineRule="auto"/>
        <w:jc w:val="both"/>
      </w:pPr>
    </w:p>
    <w:p w:rsidR="005A3CE7" w:rsidRDefault="005A3CE7" w:rsidP="001E6018">
      <w:pPr>
        <w:spacing w:line="480" w:lineRule="auto"/>
        <w:jc w:val="both"/>
      </w:pPr>
    </w:p>
    <w:p w:rsidR="005A3CE7" w:rsidRDefault="005A3CE7" w:rsidP="001E6018">
      <w:pPr>
        <w:spacing w:line="480" w:lineRule="auto"/>
        <w:jc w:val="both"/>
      </w:pPr>
    </w:p>
    <w:p w:rsidR="005A3CE7" w:rsidRDefault="005A3CE7" w:rsidP="001E6018">
      <w:pPr>
        <w:spacing w:line="480" w:lineRule="auto"/>
        <w:jc w:val="both"/>
      </w:pPr>
    </w:p>
    <w:p w:rsidR="005A3CE7" w:rsidRDefault="005A3CE7" w:rsidP="001E6018">
      <w:pPr>
        <w:spacing w:line="480" w:lineRule="auto"/>
        <w:jc w:val="both"/>
      </w:pPr>
    </w:p>
    <w:p w:rsidR="005A3CE7" w:rsidRDefault="005A3CE7" w:rsidP="001E6018">
      <w:pPr>
        <w:spacing w:line="480" w:lineRule="auto"/>
        <w:jc w:val="both"/>
      </w:pPr>
    </w:p>
    <w:p w:rsidR="005A3CE7" w:rsidRDefault="005A3CE7" w:rsidP="001E6018">
      <w:pPr>
        <w:spacing w:line="480" w:lineRule="auto"/>
        <w:jc w:val="both"/>
      </w:pPr>
    </w:p>
    <w:p w:rsidR="005A3CE7" w:rsidRDefault="005A3CE7" w:rsidP="001E6018">
      <w:pPr>
        <w:spacing w:line="480" w:lineRule="auto"/>
        <w:jc w:val="both"/>
      </w:pPr>
    </w:p>
    <w:p w:rsidR="005A3CE7" w:rsidRDefault="005A3CE7" w:rsidP="001E6018">
      <w:pPr>
        <w:spacing w:line="480" w:lineRule="auto"/>
        <w:jc w:val="both"/>
      </w:pPr>
    </w:p>
    <w:p w:rsidR="005A3CE7" w:rsidRDefault="005A3CE7" w:rsidP="001E6018">
      <w:pPr>
        <w:spacing w:line="480" w:lineRule="auto"/>
        <w:jc w:val="both"/>
      </w:pPr>
    </w:p>
    <w:p w:rsidR="005A3CE7" w:rsidRPr="00987DCE" w:rsidRDefault="005A3CE7" w:rsidP="005A3CE7">
      <w:pPr>
        <w:spacing w:line="480" w:lineRule="auto"/>
        <w:jc w:val="both"/>
      </w:pPr>
      <w:r>
        <w:rPr>
          <w:b/>
        </w:rPr>
        <w:lastRenderedPageBreak/>
        <w:t>Table S2</w:t>
      </w:r>
      <w:r w:rsidR="00A95F33">
        <w:rPr>
          <w:b/>
        </w:rPr>
        <w:t>.</w:t>
      </w:r>
      <w:r>
        <w:rPr>
          <w:b/>
        </w:rPr>
        <w:t xml:space="preserve"> </w:t>
      </w:r>
      <w:r w:rsidRPr="0000738F">
        <w:rPr>
          <w:i/>
        </w:rPr>
        <w:t>EPMA standard information, as referred to in Tables 2 and 3</w:t>
      </w:r>
    </w:p>
    <w:tbl>
      <w:tblPr>
        <w:tblW w:w="8075" w:type="dxa"/>
        <w:tblLook w:val="04A0" w:firstRow="1" w:lastRow="0" w:firstColumn="1" w:lastColumn="0" w:noHBand="0" w:noVBand="1"/>
      </w:tblPr>
      <w:tblGrid>
        <w:gridCol w:w="1180"/>
        <w:gridCol w:w="2840"/>
        <w:gridCol w:w="1853"/>
        <w:gridCol w:w="2202"/>
      </w:tblGrid>
      <w:tr w:rsidR="005A3CE7" w:rsidRPr="00777021" w:rsidTr="00B26540">
        <w:trPr>
          <w:trHeight w:val="288"/>
        </w:trPr>
        <w:tc>
          <w:tcPr>
            <w:tcW w:w="1180" w:type="dxa"/>
            <w:tcBorders>
              <w:top w:val="single" w:sz="4" w:space="0" w:color="auto"/>
              <w:bottom w:val="single" w:sz="4" w:space="0" w:color="auto"/>
            </w:tcBorders>
            <w:shd w:val="clear" w:color="auto" w:fill="auto"/>
            <w:noWrap/>
            <w:vAlign w:val="bottom"/>
            <w:hideMark/>
          </w:tcPr>
          <w:p w:rsidR="005A3CE7" w:rsidRPr="00777021" w:rsidRDefault="005A3CE7" w:rsidP="00B26540">
            <w:pPr>
              <w:spacing w:after="0" w:line="240" w:lineRule="auto"/>
              <w:jc w:val="center"/>
              <w:rPr>
                <w:rFonts w:ascii="Calibri" w:eastAsia="Times New Roman" w:hAnsi="Calibri" w:cs="Times New Roman"/>
                <w:b/>
                <w:bCs/>
                <w:color w:val="000000"/>
                <w:lang w:eastAsia="en-AU"/>
              </w:rPr>
            </w:pPr>
            <w:r w:rsidRPr="00777021">
              <w:rPr>
                <w:rFonts w:ascii="Calibri" w:eastAsia="Times New Roman" w:hAnsi="Calibri" w:cs="Times New Roman"/>
                <w:b/>
                <w:bCs/>
                <w:color w:val="000000"/>
                <w:lang w:eastAsia="en-AU"/>
              </w:rPr>
              <w:t>Reference #</w:t>
            </w:r>
          </w:p>
        </w:tc>
        <w:tc>
          <w:tcPr>
            <w:tcW w:w="2840" w:type="dxa"/>
            <w:tcBorders>
              <w:top w:val="single" w:sz="4" w:space="0" w:color="auto"/>
              <w:bottom w:val="single" w:sz="4" w:space="0" w:color="auto"/>
            </w:tcBorders>
            <w:shd w:val="clear" w:color="auto" w:fill="auto"/>
            <w:noWrap/>
            <w:vAlign w:val="bottom"/>
            <w:hideMark/>
          </w:tcPr>
          <w:p w:rsidR="005A3CE7" w:rsidRPr="00777021" w:rsidRDefault="005A3CE7" w:rsidP="00B26540">
            <w:pPr>
              <w:spacing w:after="0" w:line="240" w:lineRule="auto"/>
              <w:jc w:val="center"/>
              <w:rPr>
                <w:rFonts w:ascii="Calibri" w:eastAsia="Times New Roman" w:hAnsi="Calibri" w:cs="Times New Roman"/>
                <w:b/>
                <w:bCs/>
                <w:color w:val="000000"/>
                <w:lang w:eastAsia="en-AU"/>
              </w:rPr>
            </w:pPr>
            <w:r w:rsidRPr="00777021">
              <w:rPr>
                <w:rFonts w:ascii="Calibri" w:eastAsia="Times New Roman" w:hAnsi="Calibri" w:cs="Times New Roman"/>
                <w:b/>
                <w:bCs/>
                <w:color w:val="000000"/>
                <w:lang w:eastAsia="en-AU"/>
              </w:rPr>
              <w:t>Mineral composition</w:t>
            </w:r>
          </w:p>
        </w:tc>
        <w:tc>
          <w:tcPr>
            <w:tcW w:w="1853" w:type="dxa"/>
            <w:tcBorders>
              <w:top w:val="single" w:sz="4" w:space="0" w:color="auto"/>
              <w:left w:val="nil"/>
              <w:bottom w:val="single" w:sz="4" w:space="0" w:color="auto"/>
            </w:tcBorders>
            <w:shd w:val="clear" w:color="auto" w:fill="auto"/>
            <w:noWrap/>
            <w:vAlign w:val="bottom"/>
            <w:hideMark/>
          </w:tcPr>
          <w:p w:rsidR="005A3CE7" w:rsidRPr="00777021" w:rsidRDefault="005A3CE7" w:rsidP="00B26540">
            <w:pPr>
              <w:spacing w:after="0" w:line="240" w:lineRule="auto"/>
              <w:jc w:val="center"/>
              <w:rPr>
                <w:rFonts w:ascii="Calibri" w:eastAsia="Times New Roman" w:hAnsi="Calibri" w:cs="Times New Roman"/>
                <w:b/>
                <w:bCs/>
                <w:color w:val="000000"/>
                <w:lang w:eastAsia="en-AU"/>
              </w:rPr>
            </w:pPr>
            <w:r w:rsidRPr="00777021">
              <w:rPr>
                <w:rFonts w:ascii="Calibri" w:eastAsia="Times New Roman" w:hAnsi="Calibri" w:cs="Times New Roman"/>
                <w:b/>
                <w:bCs/>
                <w:color w:val="000000"/>
                <w:lang w:eastAsia="en-AU"/>
              </w:rPr>
              <w:t>Natural/Synthetic</w:t>
            </w:r>
          </w:p>
        </w:tc>
        <w:tc>
          <w:tcPr>
            <w:tcW w:w="2202" w:type="dxa"/>
            <w:tcBorders>
              <w:top w:val="single" w:sz="4" w:space="0" w:color="auto"/>
              <w:left w:val="nil"/>
              <w:bottom w:val="single" w:sz="4" w:space="0" w:color="auto"/>
            </w:tcBorders>
            <w:shd w:val="clear" w:color="auto" w:fill="auto"/>
            <w:noWrap/>
            <w:vAlign w:val="bottom"/>
            <w:hideMark/>
          </w:tcPr>
          <w:p w:rsidR="005A3CE7" w:rsidRPr="00777021" w:rsidRDefault="005A3CE7" w:rsidP="00B26540">
            <w:pPr>
              <w:spacing w:after="0" w:line="240" w:lineRule="auto"/>
              <w:jc w:val="center"/>
              <w:rPr>
                <w:rFonts w:ascii="Calibri" w:eastAsia="Times New Roman" w:hAnsi="Calibri" w:cs="Times New Roman"/>
                <w:b/>
                <w:bCs/>
                <w:color w:val="000000"/>
                <w:lang w:eastAsia="en-AU"/>
              </w:rPr>
            </w:pPr>
            <w:r w:rsidRPr="00777021">
              <w:rPr>
                <w:rFonts w:ascii="Calibri" w:eastAsia="Times New Roman" w:hAnsi="Calibri" w:cs="Times New Roman"/>
                <w:b/>
                <w:bCs/>
                <w:color w:val="000000"/>
                <w:lang w:eastAsia="en-AU"/>
              </w:rPr>
              <w:t>Manufacturer</w:t>
            </w:r>
          </w:p>
        </w:tc>
      </w:tr>
      <w:tr w:rsidR="005A3CE7" w:rsidRPr="00777021" w:rsidTr="00B26540">
        <w:trPr>
          <w:trHeight w:val="288"/>
        </w:trPr>
        <w:tc>
          <w:tcPr>
            <w:tcW w:w="1180" w:type="dxa"/>
            <w:tcBorders>
              <w:top w:val="nil"/>
              <w:bottom w:val="nil"/>
            </w:tcBorders>
            <w:shd w:val="clear" w:color="auto" w:fill="auto"/>
            <w:noWrap/>
            <w:vAlign w:val="bottom"/>
            <w:hideMark/>
          </w:tcPr>
          <w:p w:rsidR="005A3CE7" w:rsidRPr="00777021" w:rsidRDefault="005A3CE7" w:rsidP="00B26540">
            <w:pPr>
              <w:spacing w:after="0" w:line="240" w:lineRule="auto"/>
              <w:jc w:val="center"/>
              <w:rPr>
                <w:rFonts w:ascii="Calibri" w:eastAsia="Times New Roman" w:hAnsi="Calibri" w:cs="Times New Roman"/>
                <w:color w:val="000000"/>
                <w:lang w:eastAsia="en-AU"/>
              </w:rPr>
            </w:pPr>
            <w:r w:rsidRPr="00777021">
              <w:rPr>
                <w:rFonts w:ascii="Calibri" w:eastAsia="Times New Roman" w:hAnsi="Calibri" w:cs="Times New Roman"/>
                <w:color w:val="000000"/>
                <w:lang w:eastAsia="en-AU"/>
              </w:rPr>
              <w:t>502</w:t>
            </w:r>
          </w:p>
        </w:tc>
        <w:tc>
          <w:tcPr>
            <w:tcW w:w="2840" w:type="dxa"/>
            <w:tcBorders>
              <w:top w:val="nil"/>
              <w:bottom w:val="nil"/>
            </w:tcBorders>
            <w:shd w:val="clear" w:color="auto" w:fill="auto"/>
            <w:noWrap/>
            <w:vAlign w:val="bottom"/>
            <w:hideMark/>
          </w:tcPr>
          <w:p w:rsidR="005A3CE7" w:rsidRPr="00777021" w:rsidRDefault="005A3CE7" w:rsidP="00B26540">
            <w:pPr>
              <w:spacing w:after="0" w:line="240" w:lineRule="auto"/>
              <w:jc w:val="center"/>
              <w:rPr>
                <w:rFonts w:ascii="Calibri" w:eastAsia="Times New Roman" w:hAnsi="Calibri" w:cs="Times New Roman"/>
                <w:color w:val="000000"/>
                <w:lang w:eastAsia="en-AU"/>
              </w:rPr>
            </w:pPr>
            <w:r w:rsidRPr="00777021">
              <w:rPr>
                <w:rFonts w:ascii="Calibri" w:eastAsia="Times New Roman" w:hAnsi="Calibri" w:cs="Times New Roman"/>
                <w:color w:val="000000"/>
                <w:lang w:eastAsia="en-AU"/>
              </w:rPr>
              <w:t>Almandine garnet</w:t>
            </w:r>
          </w:p>
        </w:tc>
        <w:tc>
          <w:tcPr>
            <w:tcW w:w="1853" w:type="dxa"/>
            <w:tcBorders>
              <w:top w:val="nil"/>
              <w:left w:val="nil"/>
              <w:bottom w:val="nil"/>
            </w:tcBorders>
            <w:shd w:val="clear" w:color="auto" w:fill="auto"/>
            <w:noWrap/>
            <w:vAlign w:val="bottom"/>
            <w:hideMark/>
          </w:tcPr>
          <w:p w:rsidR="005A3CE7" w:rsidRPr="00777021" w:rsidRDefault="005A3CE7" w:rsidP="00B26540">
            <w:pPr>
              <w:spacing w:after="0" w:line="240" w:lineRule="auto"/>
              <w:jc w:val="center"/>
              <w:rPr>
                <w:rFonts w:ascii="Calibri" w:eastAsia="Times New Roman" w:hAnsi="Calibri" w:cs="Times New Roman"/>
                <w:color w:val="000000"/>
                <w:lang w:eastAsia="en-AU"/>
              </w:rPr>
            </w:pPr>
            <w:r w:rsidRPr="00777021">
              <w:rPr>
                <w:rFonts w:ascii="Calibri" w:eastAsia="Times New Roman" w:hAnsi="Calibri" w:cs="Times New Roman"/>
                <w:color w:val="000000"/>
                <w:lang w:eastAsia="en-AU"/>
              </w:rPr>
              <w:t>Natural</w:t>
            </w:r>
          </w:p>
        </w:tc>
        <w:tc>
          <w:tcPr>
            <w:tcW w:w="2202" w:type="dxa"/>
            <w:tcBorders>
              <w:top w:val="nil"/>
              <w:left w:val="nil"/>
              <w:bottom w:val="nil"/>
            </w:tcBorders>
            <w:shd w:val="clear" w:color="auto" w:fill="auto"/>
            <w:noWrap/>
            <w:vAlign w:val="bottom"/>
            <w:hideMark/>
          </w:tcPr>
          <w:p w:rsidR="005A3CE7" w:rsidRPr="00777021" w:rsidRDefault="005A3CE7" w:rsidP="00B26540">
            <w:pPr>
              <w:spacing w:after="0" w:line="240" w:lineRule="auto"/>
              <w:jc w:val="center"/>
              <w:rPr>
                <w:rFonts w:ascii="Calibri" w:eastAsia="Times New Roman" w:hAnsi="Calibri" w:cs="Times New Roman"/>
                <w:color w:val="000000"/>
                <w:lang w:eastAsia="en-AU"/>
              </w:rPr>
            </w:pPr>
            <w:proofErr w:type="spellStart"/>
            <w:r w:rsidRPr="00777021">
              <w:rPr>
                <w:rFonts w:ascii="Calibri" w:eastAsia="Times New Roman" w:hAnsi="Calibri" w:cs="Times New Roman"/>
                <w:color w:val="000000"/>
                <w:lang w:eastAsia="en-AU"/>
              </w:rPr>
              <w:t>Astimex</w:t>
            </w:r>
            <w:proofErr w:type="spellEnd"/>
          </w:p>
        </w:tc>
      </w:tr>
      <w:tr w:rsidR="005A3CE7" w:rsidRPr="00777021" w:rsidTr="00B26540">
        <w:trPr>
          <w:trHeight w:val="288"/>
        </w:trPr>
        <w:tc>
          <w:tcPr>
            <w:tcW w:w="1180" w:type="dxa"/>
            <w:tcBorders>
              <w:top w:val="nil"/>
              <w:bottom w:val="nil"/>
            </w:tcBorders>
            <w:shd w:val="clear" w:color="auto" w:fill="auto"/>
            <w:noWrap/>
            <w:vAlign w:val="bottom"/>
            <w:hideMark/>
          </w:tcPr>
          <w:p w:rsidR="005A3CE7" w:rsidRPr="00777021" w:rsidRDefault="005A3CE7" w:rsidP="00B26540">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513</w:t>
            </w:r>
          </w:p>
        </w:tc>
        <w:tc>
          <w:tcPr>
            <w:tcW w:w="2840" w:type="dxa"/>
            <w:tcBorders>
              <w:top w:val="nil"/>
              <w:bottom w:val="nil"/>
            </w:tcBorders>
            <w:shd w:val="clear" w:color="auto" w:fill="auto"/>
            <w:noWrap/>
            <w:vAlign w:val="bottom"/>
            <w:hideMark/>
          </w:tcPr>
          <w:p w:rsidR="005A3CE7" w:rsidRPr="00777021" w:rsidRDefault="005A3CE7" w:rsidP="00B26540">
            <w:pPr>
              <w:spacing w:after="0" w:line="240" w:lineRule="auto"/>
              <w:jc w:val="center"/>
              <w:rPr>
                <w:rFonts w:ascii="Calibri" w:eastAsia="Times New Roman" w:hAnsi="Calibri" w:cs="Times New Roman"/>
                <w:color w:val="000000"/>
                <w:lang w:eastAsia="en-AU"/>
              </w:rPr>
            </w:pPr>
            <w:r w:rsidRPr="00777021">
              <w:rPr>
                <w:rFonts w:ascii="Calibri" w:eastAsia="Times New Roman" w:hAnsi="Calibri" w:cs="Times New Roman"/>
                <w:color w:val="000000"/>
                <w:lang w:eastAsia="en-AU"/>
              </w:rPr>
              <w:t>Barite</w:t>
            </w:r>
          </w:p>
        </w:tc>
        <w:tc>
          <w:tcPr>
            <w:tcW w:w="1853" w:type="dxa"/>
            <w:tcBorders>
              <w:top w:val="nil"/>
              <w:left w:val="nil"/>
              <w:bottom w:val="nil"/>
            </w:tcBorders>
            <w:shd w:val="clear" w:color="auto" w:fill="auto"/>
            <w:noWrap/>
            <w:vAlign w:val="bottom"/>
            <w:hideMark/>
          </w:tcPr>
          <w:p w:rsidR="005A3CE7" w:rsidRPr="00777021" w:rsidRDefault="005A3CE7" w:rsidP="00B26540">
            <w:pPr>
              <w:spacing w:after="0" w:line="240" w:lineRule="auto"/>
              <w:jc w:val="center"/>
              <w:rPr>
                <w:rFonts w:ascii="Calibri" w:eastAsia="Times New Roman" w:hAnsi="Calibri" w:cs="Times New Roman"/>
                <w:color w:val="000000"/>
                <w:lang w:eastAsia="en-AU"/>
              </w:rPr>
            </w:pPr>
            <w:r w:rsidRPr="00777021">
              <w:rPr>
                <w:rFonts w:ascii="Calibri" w:eastAsia="Times New Roman" w:hAnsi="Calibri" w:cs="Times New Roman"/>
                <w:color w:val="000000"/>
                <w:lang w:eastAsia="en-AU"/>
              </w:rPr>
              <w:t>Natural</w:t>
            </w:r>
          </w:p>
        </w:tc>
        <w:tc>
          <w:tcPr>
            <w:tcW w:w="2202" w:type="dxa"/>
            <w:tcBorders>
              <w:top w:val="nil"/>
              <w:left w:val="nil"/>
              <w:bottom w:val="nil"/>
            </w:tcBorders>
            <w:shd w:val="clear" w:color="auto" w:fill="auto"/>
            <w:noWrap/>
            <w:vAlign w:val="bottom"/>
            <w:hideMark/>
          </w:tcPr>
          <w:p w:rsidR="005A3CE7" w:rsidRPr="00777021" w:rsidRDefault="005A3CE7" w:rsidP="00B26540">
            <w:pPr>
              <w:spacing w:after="0" w:line="240" w:lineRule="auto"/>
              <w:jc w:val="center"/>
              <w:rPr>
                <w:rFonts w:ascii="Calibri" w:eastAsia="Times New Roman" w:hAnsi="Calibri" w:cs="Times New Roman"/>
                <w:color w:val="000000"/>
                <w:lang w:eastAsia="en-AU"/>
              </w:rPr>
            </w:pPr>
            <w:proofErr w:type="spellStart"/>
            <w:r w:rsidRPr="00777021">
              <w:rPr>
                <w:rFonts w:ascii="Calibri" w:eastAsia="Times New Roman" w:hAnsi="Calibri" w:cs="Times New Roman"/>
                <w:color w:val="000000"/>
                <w:lang w:eastAsia="en-AU"/>
              </w:rPr>
              <w:t>Astimex</w:t>
            </w:r>
            <w:proofErr w:type="spellEnd"/>
          </w:p>
        </w:tc>
      </w:tr>
      <w:tr w:rsidR="005A3CE7" w:rsidRPr="00777021" w:rsidTr="00B26540">
        <w:trPr>
          <w:trHeight w:val="288"/>
        </w:trPr>
        <w:tc>
          <w:tcPr>
            <w:tcW w:w="1180" w:type="dxa"/>
            <w:tcBorders>
              <w:top w:val="nil"/>
              <w:bottom w:val="nil"/>
            </w:tcBorders>
            <w:shd w:val="clear" w:color="auto" w:fill="auto"/>
            <w:noWrap/>
            <w:vAlign w:val="bottom"/>
            <w:hideMark/>
          </w:tcPr>
          <w:p w:rsidR="005A3CE7" w:rsidRPr="00777021" w:rsidRDefault="005A3CE7" w:rsidP="00B26540">
            <w:pPr>
              <w:spacing w:after="0" w:line="240" w:lineRule="auto"/>
              <w:jc w:val="center"/>
              <w:rPr>
                <w:rFonts w:ascii="Calibri" w:eastAsia="Times New Roman" w:hAnsi="Calibri" w:cs="Times New Roman"/>
                <w:color w:val="000000"/>
                <w:lang w:eastAsia="en-AU"/>
              </w:rPr>
            </w:pPr>
            <w:r w:rsidRPr="00777021">
              <w:rPr>
                <w:rFonts w:ascii="Calibri" w:eastAsia="Times New Roman" w:hAnsi="Calibri" w:cs="Times New Roman"/>
                <w:color w:val="000000"/>
                <w:lang w:eastAsia="en-AU"/>
              </w:rPr>
              <w:t>545</w:t>
            </w:r>
          </w:p>
        </w:tc>
        <w:tc>
          <w:tcPr>
            <w:tcW w:w="2840" w:type="dxa"/>
            <w:tcBorders>
              <w:top w:val="nil"/>
              <w:bottom w:val="nil"/>
            </w:tcBorders>
            <w:shd w:val="clear" w:color="auto" w:fill="auto"/>
            <w:noWrap/>
            <w:vAlign w:val="bottom"/>
            <w:hideMark/>
          </w:tcPr>
          <w:p w:rsidR="005A3CE7" w:rsidRPr="00777021" w:rsidRDefault="005A3CE7" w:rsidP="00B26540">
            <w:pPr>
              <w:spacing w:after="0" w:line="240" w:lineRule="auto"/>
              <w:jc w:val="center"/>
              <w:rPr>
                <w:rFonts w:ascii="Calibri" w:eastAsia="Times New Roman" w:hAnsi="Calibri" w:cs="Times New Roman"/>
                <w:color w:val="000000"/>
                <w:lang w:eastAsia="en-AU"/>
              </w:rPr>
            </w:pPr>
            <w:proofErr w:type="spellStart"/>
            <w:r w:rsidRPr="00777021">
              <w:rPr>
                <w:rFonts w:ascii="Calibri" w:eastAsia="Times New Roman" w:hAnsi="Calibri" w:cs="Times New Roman"/>
                <w:color w:val="000000"/>
                <w:lang w:eastAsia="en-AU"/>
              </w:rPr>
              <w:t>Tugtupite</w:t>
            </w:r>
            <w:proofErr w:type="spellEnd"/>
          </w:p>
        </w:tc>
        <w:tc>
          <w:tcPr>
            <w:tcW w:w="1853" w:type="dxa"/>
            <w:tcBorders>
              <w:top w:val="nil"/>
              <w:left w:val="nil"/>
              <w:bottom w:val="nil"/>
            </w:tcBorders>
            <w:shd w:val="clear" w:color="auto" w:fill="auto"/>
            <w:noWrap/>
            <w:vAlign w:val="bottom"/>
            <w:hideMark/>
          </w:tcPr>
          <w:p w:rsidR="005A3CE7" w:rsidRPr="00777021" w:rsidRDefault="005A3CE7" w:rsidP="00B26540">
            <w:pPr>
              <w:spacing w:after="0" w:line="240" w:lineRule="auto"/>
              <w:jc w:val="center"/>
              <w:rPr>
                <w:rFonts w:ascii="Calibri" w:eastAsia="Times New Roman" w:hAnsi="Calibri" w:cs="Times New Roman"/>
                <w:color w:val="000000"/>
                <w:lang w:eastAsia="en-AU"/>
              </w:rPr>
            </w:pPr>
            <w:r w:rsidRPr="00777021">
              <w:rPr>
                <w:rFonts w:ascii="Calibri" w:eastAsia="Times New Roman" w:hAnsi="Calibri" w:cs="Times New Roman"/>
                <w:color w:val="000000"/>
                <w:lang w:eastAsia="en-AU"/>
              </w:rPr>
              <w:t>Natural</w:t>
            </w:r>
          </w:p>
        </w:tc>
        <w:tc>
          <w:tcPr>
            <w:tcW w:w="2202" w:type="dxa"/>
            <w:tcBorders>
              <w:top w:val="nil"/>
              <w:left w:val="nil"/>
              <w:bottom w:val="nil"/>
            </w:tcBorders>
            <w:shd w:val="clear" w:color="auto" w:fill="auto"/>
            <w:noWrap/>
            <w:vAlign w:val="bottom"/>
            <w:hideMark/>
          </w:tcPr>
          <w:p w:rsidR="005A3CE7" w:rsidRPr="00777021" w:rsidRDefault="005A3CE7" w:rsidP="00B26540">
            <w:pPr>
              <w:spacing w:after="0" w:line="240" w:lineRule="auto"/>
              <w:jc w:val="center"/>
              <w:rPr>
                <w:rFonts w:ascii="Calibri" w:eastAsia="Times New Roman" w:hAnsi="Calibri" w:cs="Times New Roman"/>
                <w:color w:val="000000"/>
                <w:lang w:eastAsia="en-AU"/>
              </w:rPr>
            </w:pPr>
            <w:proofErr w:type="spellStart"/>
            <w:r w:rsidRPr="00777021">
              <w:rPr>
                <w:rFonts w:ascii="Calibri" w:eastAsia="Times New Roman" w:hAnsi="Calibri" w:cs="Times New Roman"/>
                <w:color w:val="000000"/>
                <w:lang w:eastAsia="en-AU"/>
              </w:rPr>
              <w:t>Astimex</w:t>
            </w:r>
            <w:proofErr w:type="spellEnd"/>
          </w:p>
        </w:tc>
      </w:tr>
      <w:tr w:rsidR="005A3CE7" w:rsidRPr="00777021" w:rsidTr="00B26540">
        <w:trPr>
          <w:trHeight w:val="288"/>
        </w:trPr>
        <w:tc>
          <w:tcPr>
            <w:tcW w:w="1180" w:type="dxa"/>
            <w:tcBorders>
              <w:top w:val="nil"/>
              <w:bottom w:val="nil"/>
            </w:tcBorders>
            <w:shd w:val="clear" w:color="auto" w:fill="auto"/>
            <w:noWrap/>
            <w:vAlign w:val="bottom"/>
            <w:hideMark/>
          </w:tcPr>
          <w:p w:rsidR="005A3CE7" w:rsidRPr="00777021" w:rsidRDefault="005A3CE7" w:rsidP="00B26540">
            <w:pPr>
              <w:spacing w:after="0" w:line="240" w:lineRule="auto"/>
              <w:jc w:val="center"/>
              <w:rPr>
                <w:rFonts w:ascii="Calibri" w:eastAsia="Times New Roman" w:hAnsi="Calibri" w:cs="Times New Roman"/>
                <w:color w:val="000000"/>
                <w:lang w:eastAsia="en-AU"/>
              </w:rPr>
            </w:pPr>
            <w:r w:rsidRPr="00777021">
              <w:rPr>
                <w:rFonts w:ascii="Calibri" w:eastAsia="Times New Roman" w:hAnsi="Calibri" w:cs="Times New Roman"/>
                <w:color w:val="000000"/>
                <w:lang w:eastAsia="en-AU"/>
              </w:rPr>
              <w:t>557</w:t>
            </w:r>
          </w:p>
        </w:tc>
        <w:tc>
          <w:tcPr>
            <w:tcW w:w="2840" w:type="dxa"/>
            <w:tcBorders>
              <w:top w:val="nil"/>
              <w:bottom w:val="nil"/>
            </w:tcBorders>
            <w:shd w:val="clear" w:color="auto" w:fill="auto"/>
            <w:noWrap/>
            <w:vAlign w:val="bottom"/>
            <w:hideMark/>
          </w:tcPr>
          <w:p w:rsidR="005A3CE7" w:rsidRPr="00777021" w:rsidRDefault="005A3CE7" w:rsidP="00B26540">
            <w:pPr>
              <w:spacing w:after="0" w:line="240" w:lineRule="auto"/>
              <w:jc w:val="center"/>
              <w:rPr>
                <w:rFonts w:ascii="Calibri" w:eastAsia="Times New Roman" w:hAnsi="Calibri" w:cs="Times New Roman"/>
                <w:color w:val="000000"/>
                <w:lang w:eastAsia="en-AU"/>
              </w:rPr>
            </w:pPr>
            <w:proofErr w:type="spellStart"/>
            <w:r w:rsidRPr="00777021">
              <w:rPr>
                <w:rFonts w:ascii="Calibri" w:eastAsia="Times New Roman" w:hAnsi="Calibri" w:cs="Times New Roman"/>
                <w:color w:val="000000"/>
                <w:lang w:eastAsia="en-AU"/>
              </w:rPr>
              <w:t>Rhodonite</w:t>
            </w:r>
            <w:proofErr w:type="spellEnd"/>
          </w:p>
        </w:tc>
        <w:tc>
          <w:tcPr>
            <w:tcW w:w="1853" w:type="dxa"/>
            <w:tcBorders>
              <w:top w:val="nil"/>
              <w:left w:val="nil"/>
              <w:bottom w:val="nil"/>
            </w:tcBorders>
            <w:shd w:val="clear" w:color="auto" w:fill="auto"/>
            <w:noWrap/>
            <w:vAlign w:val="bottom"/>
            <w:hideMark/>
          </w:tcPr>
          <w:p w:rsidR="005A3CE7" w:rsidRPr="00777021" w:rsidRDefault="005A3CE7" w:rsidP="00B26540">
            <w:pPr>
              <w:spacing w:after="0" w:line="240" w:lineRule="auto"/>
              <w:jc w:val="center"/>
              <w:rPr>
                <w:rFonts w:ascii="Calibri" w:eastAsia="Times New Roman" w:hAnsi="Calibri" w:cs="Times New Roman"/>
                <w:color w:val="000000"/>
                <w:lang w:eastAsia="en-AU"/>
              </w:rPr>
            </w:pPr>
            <w:r w:rsidRPr="00777021">
              <w:rPr>
                <w:rFonts w:ascii="Calibri" w:eastAsia="Times New Roman" w:hAnsi="Calibri" w:cs="Times New Roman"/>
                <w:color w:val="000000"/>
                <w:lang w:eastAsia="en-AU"/>
              </w:rPr>
              <w:t>Natural</w:t>
            </w:r>
          </w:p>
        </w:tc>
        <w:tc>
          <w:tcPr>
            <w:tcW w:w="2202" w:type="dxa"/>
            <w:tcBorders>
              <w:top w:val="nil"/>
              <w:left w:val="nil"/>
              <w:bottom w:val="nil"/>
            </w:tcBorders>
            <w:shd w:val="clear" w:color="auto" w:fill="auto"/>
            <w:noWrap/>
            <w:vAlign w:val="bottom"/>
            <w:hideMark/>
          </w:tcPr>
          <w:p w:rsidR="005A3CE7" w:rsidRPr="00777021" w:rsidRDefault="005A3CE7" w:rsidP="00B26540">
            <w:pPr>
              <w:spacing w:after="0" w:line="240" w:lineRule="auto"/>
              <w:jc w:val="center"/>
              <w:rPr>
                <w:rFonts w:ascii="Calibri" w:eastAsia="Times New Roman" w:hAnsi="Calibri" w:cs="Times New Roman"/>
                <w:color w:val="000000"/>
                <w:lang w:eastAsia="en-AU"/>
              </w:rPr>
            </w:pPr>
            <w:proofErr w:type="spellStart"/>
            <w:r w:rsidRPr="00777021">
              <w:rPr>
                <w:rFonts w:ascii="Calibri" w:eastAsia="Times New Roman" w:hAnsi="Calibri" w:cs="Times New Roman"/>
                <w:color w:val="000000"/>
                <w:lang w:eastAsia="en-AU"/>
              </w:rPr>
              <w:t>Astimex</w:t>
            </w:r>
            <w:proofErr w:type="spellEnd"/>
          </w:p>
        </w:tc>
      </w:tr>
      <w:tr w:rsidR="005A3CE7" w:rsidRPr="00777021" w:rsidTr="00B26540">
        <w:trPr>
          <w:trHeight w:val="288"/>
        </w:trPr>
        <w:tc>
          <w:tcPr>
            <w:tcW w:w="1180" w:type="dxa"/>
            <w:tcBorders>
              <w:top w:val="nil"/>
            </w:tcBorders>
            <w:shd w:val="clear" w:color="auto" w:fill="auto"/>
            <w:noWrap/>
            <w:vAlign w:val="bottom"/>
          </w:tcPr>
          <w:p w:rsidR="005A3CE7" w:rsidRDefault="005A3CE7" w:rsidP="00B26540">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570</w:t>
            </w:r>
          </w:p>
        </w:tc>
        <w:tc>
          <w:tcPr>
            <w:tcW w:w="2840" w:type="dxa"/>
            <w:tcBorders>
              <w:top w:val="nil"/>
            </w:tcBorders>
            <w:shd w:val="clear" w:color="auto" w:fill="auto"/>
            <w:noWrap/>
            <w:vAlign w:val="bottom"/>
          </w:tcPr>
          <w:p w:rsidR="005A3CE7" w:rsidRDefault="005A3CE7" w:rsidP="00B26540">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Fluorite</w:t>
            </w:r>
          </w:p>
        </w:tc>
        <w:tc>
          <w:tcPr>
            <w:tcW w:w="1853" w:type="dxa"/>
            <w:tcBorders>
              <w:top w:val="nil"/>
              <w:left w:val="nil"/>
            </w:tcBorders>
            <w:shd w:val="clear" w:color="auto" w:fill="auto"/>
            <w:noWrap/>
            <w:vAlign w:val="bottom"/>
          </w:tcPr>
          <w:p w:rsidR="005A3CE7" w:rsidRDefault="005A3CE7" w:rsidP="00B26540">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Synthetic</w:t>
            </w:r>
          </w:p>
        </w:tc>
        <w:tc>
          <w:tcPr>
            <w:tcW w:w="2202" w:type="dxa"/>
            <w:tcBorders>
              <w:top w:val="nil"/>
              <w:left w:val="nil"/>
            </w:tcBorders>
            <w:shd w:val="clear" w:color="auto" w:fill="auto"/>
            <w:noWrap/>
            <w:vAlign w:val="bottom"/>
          </w:tcPr>
          <w:p w:rsidR="005A3CE7" w:rsidRDefault="005A3CE7" w:rsidP="00B26540">
            <w:pPr>
              <w:spacing w:after="0" w:line="240" w:lineRule="auto"/>
              <w:jc w:val="center"/>
              <w:rPr>
                <w:rFonts w:ascii="Calibri" w:eastAsia="Times New Roman" w:hAnsi="Calibri" w:cs="Times New Roman"/>
                <w:color w:val="000000"/>
                <w:lang w:eastAsia="en-AU"/>
              </w:rPr>
            </w:pPr>
            <w:proofErr w:type="spellStart"/>
            <w:r>
              <w:rPr>
                <w:rFonts w:ascii="Calibri" w:eastAsia="Times New Roman" w:hAnsi="Calibri" w:cs="Times New Roman"/>
                <w:color w:val="000000"/>
                <w:lang w:eastAsia="en-AU"/>
              </w:rPr>
              <w:t>Astimex</w:t>
            </w:r>
            <w:proofErr w:type="spellEnd"/>
          </w:p>
        </w:tc>
      </w:tr>
      <w:tr w:rsidR="005A3CE7" w:rsidRPr="00777021" w:rsidTr="00B26540">
        <w:trPr>
          <w:trHeight w:val="288"/>
        </w:trPr>
        <w:tc>
          <w:tcPr>
            <w:tcW w:w="1180" w:type="dxa"/>
            <w:tcBorders>
              <w:top w:val="nil"/>
            </w:tcBorders>
            <w:shd w:val="clear" w:color="auto" w:fill="auto"/>
            <w:noWrap/>
            <w:vAlign w:val="bottom"/>
          </w:tcPr>
          <w:p w:rsidR="005A3CE7" w:rsidRDefault="005A3CE7" w:rsidP="00B26540">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735</w:t>
            </w:r>
          </w:p>
        </w:tc>
        <w:tc>
          <w:tcPr>
            <w:tcW w:w="2840" w:type="dxa"/>
            <w:tcBorders>
              <w:top w:val="nil"/>
            </w:tcBorders>
            <w:shd w:val="clear" w:color="auto" w:fill="auto"/>
            <w:noWrap/>
            <w:vAlign w:val="bottom"/>
          </w:tcPr>
          <w:p w:rsidR="005A3CE7" w:rsidRDefault="005A3CE7" w:rsidP="00B26540">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Albite (Amelia)</w:t>
            </w:r>
          </w:p>
        </w:tc>
        <w:tc>
          <w:tcPr>
            <w:tcW w:w="1853" w:type="dxa"/>
            <w:tcBorders>
              <w:top w:val="nil"/>
              <w:left w:val="nil"/>
            </w:tcBorders>
            <w:shd w:val="clear" w:color="auto" w:fill="auto"/>
            <w:noWrap/>
            <w:vAlign w:val="bottom"/>
          </w:tcPr>
          <w:p w:rsidR="005A3CE7" w:rsidRDefault="005A3CE7" w:rsidP="00B26540">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Natural</w:t>
            </w:r>
          </w:p>
        </w:tc>
        <w:tc>
          <w:tcPr>
            <w:tcW w:w="2202" w:type="dxa"/>
            <w:tcBorders>
              <w:top w:val="nil"/>
              <w:left w:val="nil"/>
            </w:tcBorders>
            <w:shd w:val="clear" w:color="auto" w:fill="auto"/>
            <w:noWrap/>
            <w:vAlign w:val="bottom"/>
          </w:tcPr>
          <w:p w:rsidR="005A3CE7" w:rsidRDefault="005A3CE7" w:rsidP="00B26540">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P&amp;H and Associates</w:t>
            </w:r>
          </w:p>
        </w:tc>
      </w:tr>
      <w:tr w:rsidR="005A3CE7" w:rsidRPr="00777021" w:rsidTr="00B26540">
        <w:trPr>
          <w:trHeight w:val="288"/>
        </w:trPr>
        <w:tc>
          <w:tcPr>
            <w:tcW w:w="1180" w:type="dxa"/>
            <w:tcBorders>
              <w:top w:val="nil"/>
            </w:tcBorders>
            <w:shd w:val="clear" w:color="auto" w:fill="auto"/>
            <w:noWrap/>
            <w:vAlign w:val="bottom"/>
          </w:tcPr>
          <w:p w:rsidR="005A3CE7" w:rsidRDefault="005A3CE7" w:rsidP="00B26540">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736</w:t>
            </w:r>
          </w:p>
        </w:tc>
        <w:tc>
          <w:tcPr>
            <w:tcW w:w="2840" w:type="dxa"/>
            <w:tcBorders>
              <w:top w:val="nil"/>
            </w:tcBorders>
            <w:shd w:val="clear" w:color="auto" w:fill="auto"/>
            <w:noWrap/>
            <w:vAlign w:val="bottom"/>
          </w:tcPr>
          <w:p w:rsidR="005A3CE7" w:rsidRDefault="005A3CE7" w:rsidP="00B26540">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Apatite (</w:t>
            </w:r>
            <w:proofErr w:type="spellStart"/>
            <w:r>
              <w:rPr>
                <w:rFonts w:ascii="Calibri" w:eastAsia="Times New Roman" w:hAnsi="Calibri" w:cs="Times New Roman"/>
                <w:color w:val="000000"/>
                <w:lang w:eastAsia="en-AU"/>
              </w:rPr>
              <w:t>Wilbeforce</w:t>
            </w:r>
            <w:proofErr w:type="spellEnd"/>
            <w:r>
              <w:rPr>
                <w:rFonts w:ascii="Calibri" w:eastAsia="Times New Roman" w:hAnsi="Calibri" w:cs="Times New Roman"/>
                <w:color w:val="000000"/>
                <w:lang w:eastAsia="en-AU"/>
              </w:rPr>
              <w:t>)</w:t>
            </w:r>
          </w:p>
        </w:tc>
        <w:tc>
          <w:tcPr>
            <w:tcW w:w="1853" w:type="dxa"/>
            <w:tcBorders>
              <w:top w:val="nil"/>
              <w:left w:val="nil"/>
            </w:tcBorders>
            <w:shd w:val="clear" w:color="auto" w:fill="auto"/>
            <w:noWrap/>
            <w:vAlign w:val="bottom"/>
          </w:tcPr>
          <w:p w:rsidR="005A3CE7" w:rsidRDefault="005A3CE7" w:rsidP="00B26540">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Natural</w:t>
            </w:r>
          </w:p>
        </w:tc>
        <w:tc>
          <w:tcPr>
            <w:tcW w:w="2202" w:type="dxa"/>
            <w:tcBorders>
              <w:top w:val="nil"/>
              <w:left w:val="nil"/>
            </w:tcBorders>
            <w:shd w:val="clear" w:color="auto" w:fill="auto"/>
            <w:noWrap/>
            <w:vAlign w:val="bottom"/>
          </w:tcPr>
          <w:p w:rsidR="005A3CE7" w:rsidRDefault="005A3CE7" w:rsidP="00B26540">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C.M. Taylor</w:t>
            </w:r>
          </w:p>
        </w:tc>
      </w:tr>
      <w:tr w:rsidR="005A3CE7" w:rsidRPr="00777021" w:rsidTr="00B26540">
        <w:trPr>
          <w:trHeight w:val="288"/>
        </w:trPr>
        <w:tc>
          <w:tcPr>
            <w:tcW w:w="1180" w:type="dxa"/>
            <w:tcBorders>
              <w:top w:val="nil"/>
            </w:tcBorders>
            <w:shd w:val="clear" w:color="auto" w:fill="auto"/>
            <w:noWrap/>
            <w:vAlign w:val="bottom"/>
          </w:tcPr>
          <w:p w:rsidR="005A3CE7" w:rsidRDefault="005A3CE7" w:rsidP="00B26540">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1200</w:t>
            </w:r>
          </w:p>
        </w:tc>
        <w:tc>
          <w:tcPr>
            <w:tcW w:w="2840" w:type="dxa"/>
            <w:tcBorders>
              <w:top w:val="nil"/>
            </w:tcBorders>
            <w:shd w:val="clear" w:color="auto" w:fill="auto"/>
            <w:noWrap/>
            <w:vAlign w:val="bottom"/>
          </w:tcPr>
          <w:p w:rsidR="005A3CE7" w:rsidRDefault="005A3CE7" w:rsidP="00B26540">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Lanthanum Phosphate</w:t>
            </w:r>
          </w:p>
        </w:tc>
        <w:tc>
          <w:tcPr>
            <w:tcW w:w="1853" w:type="dxa"/>
            <w:tcBorders>
              <w:top w:val="nil"/>
              <w:left w:val="nil"/>
            </w:tcBorders>
            <w:shd w:val="clear" w:color="auto" w:fill="auto"/>
            <w:noWrap/>
            <w:vAlign w:val="bottom"/>
          </w:tcPr>
          <w:p w:rsidR="005A3CE7" w:rsidRDefault="005A3CE7" w:rsidP="00B26540">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Synthetic</w:t>
            </w:r>
          </w:p>
        </w:tc>
        <w:tc>
          <w:tcPr>
            <w:tcW w:w="2202" w:type="dxa"/>
            <w:tcBorders>
              <w:top w:val="nil"/>
              <w:left w:val="nil"/>
            </w:tcBorders>
            <w:shd w:val="clear" w:color="auto" w:fill="auto"/>
            <w:noWrap/>
            <w:vAlign w:val="bottom"/>
          </w:tcPr>
          <w:p w:rsidR="005A3CE7" w:rsidRDefault="005A3CE7" w:rsidP="00B26540">
            <w:pPr>
              <w:spacing w:after="0" w:line="240" w:lineRule="auto"/>
              <w:jc w:val="center"/>
              <w:rPr>
                <w:rFonts w:ascii="Calibri" w:eastAsia="Times New Roman" w:hAnsi="Calibri" w:cs="Times New Roman"/>
                <w:color w:val="000000"/>
                <w:lang w:eastAsia="en-AU"/>
              </w:rPr>
            </w:pPr>
            <w:proofErr w:type="spellStart"/>
            <w:r>
              <w:rPr>
                <w:rFonts w:ascii="Calibri" w:eastAsia="Times New Roman" w:hAnsi="Calibri" w:cs="Times New Roman"/>
                <w:color w:val="000000"/>
                <w:lang w:eastAsia="en-AU"/>
              </w:rPr>
              <w:t>Cherniak</w:t>
            </w:r>
            <w:proofErr w:type="spellEnd"/>
            <w:r>
              <w:rPr>
                <w:rFonts w:ascii="Calibri" w:eastAsia="Times New Roman" w:hAnsi="Calibri" w:cs="Times New Roman"/>
                <w:color w:val="000000"/>
                <w:lang w:eastAsia="en-AU"/>
              </w:rPr>
              <w:t xml:space="preserve"> phosphate</w:t>
            </w:r>
          </w:p>
        </w:tc>
      </w:tr>
      <w:tr w:rsidR="005A3CE7" w:rsidRPr="00777021" w:rsidTr="00B26540">
        <w:trPr>
          <w:trHeight w:val="288"/>
        </w:trPr>
        <w:tc>
          <w:tcPr>
            <w:tcW w:w="1180" w:type="dxa"/>
            <w:tcBorders>
              <w:top w:val="nil"/>
            </w:tcBorders>
            <w:shd w:val="clear" w:color="auto" w:fill="auto"/>
            <w:noWrap/>
            <w:vAlign w:val="bottom"/>
          </w:tcPr>
          <w:p w:rsidR="005A3CE7" w:rsidRDefault="005A3CE7" w:rsidP="00B26540">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1201</w:t>
            </w:r>
          </w:p>
        </w:tc>
        <w:tc>
          <w:tcPr>
            <w:tcW w:w="2840" w:type="dxa"/>
            <w:tcBorders>
              <w:top w:val="nil"/>
            </w:tcBorders>
            <w:shd w:val="clear" w:color="auto" w:fill="auto"/>
            <w:noWrap/>
            <w:vAlign w:val="bottom"/>
          </w:tcPr>
          <w:p w:rsidR="005A3CE7" w:rsidRDefault="005A3CE7" w:rsidP="00B26540">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Cerium Phosphate</w:t>
            </w:r>
          </w:p>
        </w:tc>
        <w:tc>
          <w:tcPr>
            <w:tcW w:w="1853" w:type="dxa"/>
            <w:tcBorders>
              <w:top w:val="nil"/>
              <w:left w:val="nil"/>
            </w:tcBorders>
            <w:shd w:val="clear" w:color="auto" w:fill="auto"/>
            <w:noWrap/>
            <w:vAlign w:val="bottom"/>
          </w:tcPr>
          <w:p w:rsidR="005A3CE7" w:rsidRDefault="005A3CE7" w:rsidP="00B26540">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Synthetic</w:t>
            </w:r>
          </w:p>
        </w:tc>
        <w:tc>
          <w:tcPr>
            <w:tcW w:w="2202" w:type="dxa"/>
            <w:tcBorders>
              <w:top w:val="nil"/>
              <w:left w:val="nil"/>
            </w:tcBorders>
            <w:shd w:val="clear" w:color="auto" w:fill="auto"/>
            <w:noWrap/>
            <w:vAlign w:val="bottom"/>
          </w:tcPr>
          <w:p w:rsidR="005A3CE7" w:rsidRDefault="005A3CE7" w:rsidP="00B26540">
            <w:pPr>
              <w:spacing w:after="0" w:line="240" w:lineRule="auto"/>
              <w:jc w:val="center"/>
              <w:rPr>
                <w:rFonts w:ascii="Calibri" w:eastAsia="Times New Roman" w:hAnsi="Calibri" w:cs="Times New Roman"/>
                <w:color w:val="000000"/>
                <w:lang w:eastAsia="en-AU"/>
              </w:rPr>
            </w:pPr>
            <w:proofErr w:type="spellStart"/>
            <w:r>
              <w:rPr>
                <w:rFonts w:ascii="Calibri" w:eastAsia="Times New Roman" w:hAnsi="Calibri" w:cs="Times New Roman"/>
                <w:color w:val="000000"/>
                <w:lang w:eastAsia="en-AU"/>
              </w:rPr>
              <w:t>Cherniak</w:t>
            </w:r>
            <w:proofErr w:type="spellEnd"/>
            <w:r>
              <w:rPr>
                <w:rFonts w:ascii="Calibri" w:eastAsia="Times New Roman" w:hAnsi="Calibri" w:cs="Times New Roman"/>
                <w:color w:val="000000"/>
                <w:lang w:eastAsia="en-AU"/>
              </w:rPr>
              <w:t xml:space="preserve"> phosphate</w:t>
            </w:r>
          </w:p>
        </w:tc>
      </w:tr>
      <w:tr w:rsidR="005A3CE7" w:rsidRPr="00777021" w:rsidTr="00B26540">
        <w:trPr>
          <w:trHeight w:val="288"/>
        </w:trPr>
        <w:tc>
          <w:tcPr>
            <w:tcW w:w="1180" w:type="dxa"/>
            <w:tcBorders>
              <w:top w:val="nil"/>
            </w:tcBorders>
            <w:shd w:val="clear" w:color="auto" w:fill="auto"/>
            <w:noWrap/>
            <w:vAlign w:val="bottom"/>
          </w:tcPr>
          <w:p w:rsidR="005A3CE7" w:rsidRDefault="005A3CE7" w:rsidP="00B26540">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1203</w:t>
            </w:r>
          </w:p>
        </w:tc>
        <w:tc>
          <w:tcPr>
            <w:tcW w:w="2840" w:type="dxa"/>
            <w:tcBorders>
              <w:top w:val="nil"/>
            </w:tcBorders>
            <w:shd w:val="clear" w:color="auto" w:fill="auto"/>
            <w:noWrap/>
            <w:vAlign w:val="bottom"/>
          </w:tcPr>
          <w:p w:rsidR="005A3CE7" w:rsidRDefault="005A3CE7" w:rsidP="00B26540">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Neodymium Phosphate</w:t>
            </w:r>
          </w:p>
        </w:tc>
        <w:tc>
          <w:tcPr>
            <w:tcW w:w="1853" w:type="dxa"/>
            <w:tcBorders>
              <w:top w:val="nil"/>
              <w:left w:val="nil"/>
            </w:tcBorders>
            <w:shd w:val="clear" w:color="auto" w:fill="auto"/>
            <w:noWrap/>
            <w:vAlign w:val="bottom"/>
          </w:tcPr>
          <w:p w:rsidR="005A3CE7" w:rsidRDefault="005A3CE7" w:rsidP="00B26540">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Synthetic</w:t>
            </w:r>
          </w:p>
        </w:tc>
        <w:tc>
          <w:tcPr>
            <w:tcW w:w="2202" w:type="dxa"/>
            <w:tcBorders>
              <w:top w:val="nil"/>
              <w:left w:val="nil"/>
            </w:tcBorders>
            <w:shd w:val="clear" w:color="auto" w:fill="auto"/>
            <w:noWrap/>
            <w:vAlign w:val="bottom"/>
          </w:tcPr>
          <w:p w:rsidR="005A3CE7" w:rsidRDefault="005A3CE7" w:rsidP="00B26540">
            <w:pPr>
              <w:spacing w:after="0" w:line="240" w:lineRule="auto"/>
              <w:jc w:val="center"/>
              <w:rPr>
                <w:rFonts w:ascii="Calibri" w:eastAsia="Times New Roman" w:hAnsi="Calibri" w:cs="Times New Roman"/>
                <w:color w:val="000000"/>
                <w:lang w:eastAsia="en-AU"/>
              </w:rPr>
            </w:pPr>
            <w:proofErr w:type="spellStart"/>
            <w:r>
              <w:rPr>
                <w:rFonts w:ascii="Calibri" w:eastAsia="Times New Roman" w:hAnsi="Calibri" w:cs="Times New Roman"/>
                <w:color w:val="000000"/>
                <w:lang w:eastAsia="en-AU"/>
              </w:rPr>
              <w:t>Cherniak</w:t>
            </w:r>
            <w:proofErr w:type="spellEnd"/>
            <w:r>
              <w:rPr>
                <w:rFonts w:ascii="Calibri" w:eastAsia="Times New Roman" w:hAnsi="Calibri" w:cs="Times New Roman"/>
                <w:color w:val="000000"/>
                <w:lang w:eastAsia="en-AU"/>
              </w:rPr>
              <w:t xml:space="preserve"> phosphate</w:t>
            </w:r>
          </w:p>
        </w:tc>
      </w:tr>
      <w:tr w:rsidR="005A3CE7" w:rsidRPr="00777021" w:rsidTr="00B26540">
        <w:trPr>
          <w:trHeight w:val="288"/>
        </w:trPr>
        <w:tc>
          <w:tcPr>
            <w:tcW w:w="1180" w:type="dxa"/>
            <w:tcBorders>
              <w:top w:val="nil"/>
            </w:tcBorders>
            <w:shd w:val="clear" w:color="auto" w:fill="auto"/>
            <w:noWrap/>
            <w:vAlign w:val="bottom"/>
          </w:tcPr>
          <w:p w:rsidR="005A3CE7" w:rsidRDefault="005A3CE7" w:rsidP="00B26540">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1214</w:t>
            </w:r>
          </w:p>
        </w:tc>
        <w:tc>
          <w:tcPr>
            <w:tcW w:w="2840" w:type="dxa"/>
            <w:tcBorders>
              <w:top w:val="nil"/>
            </w:tcBorders>
            <w:shd w:val="clear" w:color="auto" w:fill="auto"/>
            <w:noWrap/>
            <w:vAlign w:val="bottom"/>
          </w:tcPr>
          <w:p w:rsidR="005A3CE7" w:rsidRDefault="005A3CE7" w:rsidP="00B26540">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Yttrium Phosphate</w:t>
            </w:r>
          </w:p>
        </w:tc>
        <w:tc>
          <w:tcPr>
            <w:tcW w:w="1853" w:type="dxa"/>
            <w:tcBorders>
              <w:top w:val="nil"/>
              <w:left w:val="nil"/>
            </w:tcBorders>
            <w:shd w:val="clear" w:color="auto" w:fill="auto"/>
            <w:noWrap/>
            <w:vAlign w:val="bottom"/>
          </w:tcPr>
          <w:p w:rsidR="005A3CE7" w:rsidRDefault="005A3CE7" w:rsidP="00B26540">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Synthetic</w:t>
            </w:r>
          </w:p>
        </w:tc>
        <w:tc>
          <w:tcPr>
            <w:tcW w:w="2202" w:type="dxa"/>
            <w:tcBorders>
              <w:top w:val="nil"/>
              <w:left w:val="nil"/>
            </w:tcBorders>
            <w:shd w:val="clear" w:color="auto" w:fill="auto"/>
            <w:noWrap/>
            <w:vAlign w:val="bottom"/>
          </w:tcPr>
          <w:p w:rsidR="005A3CE7" w:rsidRDefault="005A3CE7" w:rsidP="00B26540">
            <w:pPr>
              <w:spacing w:after="0" w:line="240" w:lineRule="auto"/>
              <w:jc w:val="center"/>
              <w:rPr>
                <w:rFonts w:ascii="Calibri" w:eastAsia="Times New Roman" w:hAnsi="Calibri" w:cs="Times New Roman"/>
                <w:color w:val="000000"/>
                <w:lang w:eastAsia="en-AU"/>
              </w:rPr>
            </w:pPr>
            <w:proofErr w:type="spellStart"/>
            <w:r>
              <w:rPr>
                <w:rFonts w:ascii="Calibri" w:eastAsia="Times New Roman" w:hAnsi="Calibri" w:cs="Times New Roman"/>
                <w:color w:val="000000"/>
                <w:lang w:eastAsia="en-AU"/>
              </w:rPr>
              <w:t>Cherniak</w:t>
            </w:r>
            <w:proofErr w:type="spellEnd"/>
            <w:r>
              <w:rPr>
                <w:rFonts w:ascii="Calibri" w:eastAsia="Times New Roman" w:hAnsi="Calibri" w:cs="Times New Roman"/>
                <w:color w:val="000000"/>
                <w:lang w:eastAsia="en-AU"/>
              </w:rPr>
              <w:t xml:space="preserve"> phosphate</w:t>
            </w:r>
          </w:p>
        </w:tc>
      </w:tr>
      <w:tr w:rsidR="005A3CE7" w:rsidRPr="00777021" w:rsidTr="00B26540">
        <w:trPr>
          <w:trHeight w:val="288"/>
        </w:trPr>
        <w:tc>
          <w:tcPr>
            <w:tcW w:w="1180" w:type="dxa"/>
            <w:tcBorders>
              <w:top w:val="nil"/>
            </w:tcBorders>
            <w:shd w:val="clear" w:color="auto" w:fill="auto"/>
            <w:noWrap/>
            <w:vAlign w:val="bottom"/>
            <w:hideMark/>
          </w:tcPr>
          <w:p w:rsidR="005A3CE7" w:rsidRPr="00777021" w:rsidRDefault="005A3CE7" w:rsidP="00B26540">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1323</w:t>
            </w:r>
          </w:p>
        </w:tc>
        <w:tc>
          <w:tcPr>
            <w:tcW w:w="2840" w:type="dxa"/>
            <w:tcBorders>
              <w:top w:val="nil"/>
            </w:tcBorders>
            <w:shd w:val="clear" w:color="auto" w:fill="auto"/>
            <w:noWrap/>
            <w:vAlign w:val="bottom"/>
            <w:hideMark/>
          </w:tcPr>
          <w:p w:rsidR="005A3CE7" w:rsidRPr="00777021" w:rsidRDefault="005A3CE7" w:rsidP="00B26540">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Augite</w:t>
            </w:r>
          </w:p>
        </w:tc>
        <w:tc>
          <w:tcPr>
            <w:tcW w:w="1853" w:type="dxa"/>
            <w:tcBorders>
              <w:top w:val="nil"/>
              <w:left w:val="nil"/>
            </w:tcBorders>
            <w:shd w:val="clear" w:color="auto" w:fill="auto"/>
            <w:noWrap/>
            <w:vAlign w:val="bottom"/>
            <w:hideMark/>
          </w:tcPr>
          <w:p w:rsidR="005A3CE7" w:rsidRPr="00777021" w:rsidRDefault="005A3CE7" w:rsidP="00B26540">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Natural</w:t>
            </w:r>
          </w:p>
        </w:tc>
        <w:tc>
          <w:tcPr>
            <w:tcW w:w="2202" w:type="dxa"/>
            <w:tcBorders>
              <w:top w:val="nil"/>
              <w:left w:val="nil"/>
            </w:tcBorders>
            <w:shd w:val="clear" w:color="auto" w:fill="auto"/>
            <w:noWrap/>
            <w:vAlign w:val="bottom"/>
            <w:hideMark/>
          </w:tcPr>
          <w:p w:rsidR="005A3CE7" w:rsidRPr="00777021" w:rsidRDefault="005A3CE7" w:rsidP="00B26540">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NMNH</w:t>
            </w:r>
          </w:p>
        </w:tc>
      </w:tr>
      <w:tr w:rsidR="005A3CE7" w:rsidRPr="00777021" w:rsidTr="00B26540">
        <w:trPr>
          <w:trHeight w:val="288"/>
        </w:trPr>
        <w:tc>
          <w:tcPr>
            <w:tcW w:w="1180" w:type="dxa"/>
            <w:tcBorders>
              <w:top w:val="nil"/>
              <w:bottom w:val="nil"/>
            </w:tcBorders>
            <w:shd w:val="clear" w:color="auto" w:fill="auto"/>
            <w:noWrap/>
            <w:vAlign w:val="bottom"/>
            <w:hideMark/>
          </w:tcPr>
          <w:p w:rsidR="005A3CE7" w:rsidRPr="00777021" w:rsidRDefault="005A3CE7" w:rsidP="00B26540">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1335</w:t>
            </w:r>
          </w:p>
        </w:tc>
        <w:tc>
          <w:tcPr>
            <w:tcW w:w="2840" w:type="dxa"/>
            <w:tcBorders>
              <w:top w:val="nil"/>
              <w:bottom w:val="nil"/>
            </w:tcBorders>
            <w:shd w:val="clear" w:color="auto" w:fill="auto"/>
            <w:noWrap/>
            <w:vAlign w:val="bottom"/>
            <w:hideMark/>
          </w:tcPr>
          <w:p w:rsidR="005A3CE7" w:rsidRPr="00777021" w:rsidRDefault="005A3CE7" w:rsidP="00B26540">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Olivine</w:t>
            </w:r>
          </w:p>
        </w:tc>
        <w:tc>
          <w:tcPr>
            <w:tcW w:w="1853" w:type="dxa"/>
            <w:tcBorders>
              <w:top w:val="nil"/>
              <w:left w:val="nil"/>
              <w:bottom w:val="nil"/>
            </w:tcBorders>
            <w:shd w:val="clear" w:color="auto" w:fill="auto"/>
            <w:noWrap/>
            <w:vAlign w:val="bottom"/>
            <w:hideMark/>
          </w:tcPr>
          <w:p w:rsidR="005A3CE7" w:rsidRPr="00777021" w:rsidRDefault="005A3CE7" w:rsidP="00B26540">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Natural</w:t>
            </w:r>
          </w:p>
        </w:tc>
        <w:tc>
          <w:tcPr>
            <w:tcW w:w="2202" w:type="dxa"/>
            <w:tcBorders>
              <w:top w:val="nil"/>
              <w:left w:val="nil"/>
              <w:bottom w:val="nil"/>
            </w:tcBorders>
            <w:shd w:val="clear" w:color="auto" w:fill="auto"/>
            <w:noWrap/>
            <w:vAlign w:val="bottom"/>
            <w:hideMark/>
          </w:tcPr>
          <w:p w:rsidR="005A3CE7" w:rsidRPr="00777021" w:rsidRDefault="005A3CE7" w:rsidP="00B26540">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NMNH</w:t>
            </w:r>
          </w:p>
        </w:tc>
      </w:tr>
      <w:tr w:rsidR="005A3CE7" w:rsidRPr="00777021" w:rsidTr="00B26540">
        <w:trPr>
          <w:trHeight w:val="288"/>
        </w:trPr>
        <w:tc>
          <w:tcPr>
            <w:tcW w:w="1180" w:type="dxa"/>
            <w:tcBorders>
              <w:top w:val="nil"/>
              <w:bottom w:val="nil"/>
            </w:tcBorders>
            <w:shd w:val="clear" w:color="auto" w:fill="auto"/>
            <w:noWrap/>
            <w:vAlign w:val="bottom"/>
          </w:tcPr>
          <w:p w:rsidR="005A3CE7" w:rsidRDefault="005A3CE7" w:rsidP="00B26540">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1342</w:t>
            </w:r>
          </w:p>
        </w:tc>
        <w:tc>
          <w:tcPr>
            <w:tcW w:w="2840" w:type="dxa"/>
            <w:tcBorders>
              <w:top w:val="nil"/>
              <w:bottom w:val="nil"/>
            </w:tcBorders>
            <w:shd w:val="clear" w:color="auto" w:fill="auto"/>
            <w:noWrap/>
            <w:vAlign w:val="bottom"/>
          </w:tcPr>
          <w:p w:rsidR="005A3CE7" w:rsidRPr="00777021" w:rsidRDefault="005A3CE7" w:rsidP="00B26540">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Rutile</w:t>
            </w:r>
          </w:p>
        </w:tc>
        <w:tc>
          <w:tcPr>
            <w:tcW w:w="1853" w:type="dxa"/>
            <w:tcBorders>
              <w:top w:val="nil"/>
              <w:left w:val="nil"/>
              <w:bottom w:val="nil"/>
            </w:tcBorders>
            <w:shd w:val="clear" w:color="auto" w:fill="auto"/>
            <w:noWrap/>
            <w:vAlign w:val="bottom"/>
          </w:tcPr>
          <w:p w:rsidR="005A3CE7" w:rsidRPr="00777021" w:rsidRDefault="005A3CE7" w:rsidP="00B26540">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Synthetic</w:t>
            </w:r>
          </w:p>
        </w:tc>
        <w:tc>
          <w:tcPr>
            <w:tcW w:w="2202" w:type="dxa"/>
            <w:tcBorders>
              <w:top w:val="nil"/>
              <w:left w:val="nil"/>
              <w:bottom w:val="nil"/>
            </w:tcBorders>
            <w:shd w:val="clear" w:color="auto" w:fill="auto"/>
            <w:noWrap/>
            <w:vAlign w:val="bottom"/>
          </w:tcPr>
          <w:p w:rsidR="005A3CE7" w:rsidRPr="00777021" w:rsidRDefault="005A3CE7" w:rsidP="00B26540">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In-house</w:t>
            </w:r>
          </w:p>
        </w:tc>
      </w:tr>
      <w:tr w:rsidR="005A3CE7" w:rsidRPr="00777021" w:rsidTr="00B26540">
        <w:trPr>
          <w:trHeight w:val="288"/>
        </w:trPr>
        <w:tc>
          <w:tcPr>
            <w:tcW w:w="1180" w:type="dxa"/>
            <w:tcBorders>
              <w:top w:val="nil"/>
              <w:bottom w:val="single" w:sz="4" w:space="0" w:color="auto"/>
            </w:tcBorders>
            <w:shd w:val="clear" w:color="auto" w:fill="auto"/>
            <w:noWrap/>
            <w:vAlign w:val="bottom"/>
          </w:tcPr>
          <w:p w:rsidR="005A3CE7" w:rsidRDefault="005A3CE7" w:rsidP="00B26540">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1600</w:t>
            </w:r>
          </w:p>
        </w:tc>
        <w:tc>
          <w:tcPr>
            <w:tcW w:w="2840" w:type="dxa"/>
            <w:tcBorders>
              <w:top w:val="nil"/>
              <w:bottom w:val="single" w:sz="4" w:space="0" w:color="auto"/>
            </w:tcBorders>
            <w:shd w:val="clear" w:color="auto" w:fill="auto"/>
            <w:noWrap/>
            <w:vAlign w:val="bottom"/>
          </w:tcPr>
          <w:p w:rsidR="005A3CE7" w:rsidRPr="00777021" w:rsidRDefault="005A3CE7" w:rsidP="00B26540">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MgF2</w:t>
            </w:r>
          </w:p>
        </w:tc>
        <w:tc>
          <w:tcPr>
            <w:tcW w:w="1853" w:type="dxa"/>
            <w:tcBorders>
              <w:top w:val="nil"/>
              <w:left w:val="nil"/>
              <w:bottom w:val="single" w:sz="4" w:space="0" w:color="auto"/>
            </w:tcBorders>
            <w:shd w:val="clear" w:color="auto" w:fill="auto"/>
            <w:noWrap/>
            <w:vAlign w:val="bottom"/>
          </w:tcPr>
          <w:p w:rsidR="005A3CE7" w:rsidRPr="00777021" w:rsidRDefault="005A3CE7" w:rsidP="00B26540">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Synthetic</w:t>
            </w:r>
          </w:p>
        </w:tc>
        <w:tc>
          <w:tcPr>
            <w:tcW w:w="2202" w:type="dxa"/>
            <w:tcBorders>
              <w:top w:val="nil"/>
              <w:left w:val="nil"/>
              <w:bottom w:val="single" w:sz="4" w:space="0" w:color="auto"/>
            </w:tcBorders>
            <w:shd w:val="clear" w:color="auto" w:fill="auto"/>
            <w:noWrap/>
            <w:vAlign w:val="bottom"/>
          </w:tcPr>
          <w:p w:rsidR="005A3CE7" w:rsidRPr="00777021" w:rsidRDefault="005A3CE7" w:rsidP="00B26540">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In-house(Laser optic)</w:t>
            </w:r>
          </w:p>
        </w:tc>
      </w:tr>
    </w:tbl>
    <w:p w:rsidR="005A3CE7" w:rsidRPr="00F3773D" w:rsidRDefault="005A3CE7" w:rsidP="001E6018">
      <w:pPr>
        <w:spacing w:line="480" w:lineRule="auto"/>
        <w:jc w:val="both"/>
      </w:pPr>
    </w:p>
    <w:p w:rsidR="00992F9C" w:rsidRDefault="005A3CE7" w:rsidP="001E6018">
      <w:pPr>
        <w:spacing w:line="480" w:lineRule="auto"/>
        <w:jc w:val="both"/>
        <w:rPr>
          <w:b/>
          <w:i/>
        </w:rPr>
      </w:pPr>
      <w:r>
        <w:rPr>
          <w:b/>
          <w:i/>
        </w:rPr>
        <w:t>Eval</w:t>
      </w:r>
      <w:r w:rsidR="00992F9C">
        <w:rPr>
          <w:b/>
          <w:i/>
        </w:rPr>
        <w:t xml:space="preserve">uation of Accuracy of Analytical Methods </w:t>
      </w:r>
    </w:p>
    <w:p w:rsidR="00992F9C" w:rsidRPr="00992F9C" w:rsidRDefault="00A95F33" w:rsidP="001E6018">
      <w:pPr>
        <w:spacing w:line="480" w:lineRule="auto"/>
        <w:jc w:val="both"/>
        <w:rPr>
          <w:i/>
        </w:rPr>
      </w:pPr>
      <w:proofErr w:type="spellStart"/>
      <w:r>
        <w:rPr>
          <w:i/>
        </w:rPr>
        <w:t>AUPb</w:t>
      </w:r>
      <w:proofErr w:type="spellEnd"/>
      <w:r>
        <w:rPr>
          <w:i/>
        </w:rPr>
        <w:t xml:space="preserve"> Secondary Standards</w:t>
      </w:r>
    </w:p>
    <w:p w:rsidR="00992F9C" w:rsidRDefault="006F315C" w:rsidP="001E6018">
      <w:pPr>
        <w:spacing w:line="480" w:lineRule="auto"/>
        <w:jc w:val="both"/>
      </w:pPr>
      <w:r>
        <w:t>Secondary</w:t>
      </w:r>
      <w:r w:rsidRPr="006F315C">
        <w:t xml:space="preserve"> standards of Durango and McClure apatite were analysed alongside unknowns in each </w:t>
      </w:r>
      <w:r w:rsidR="003C15DC" w:rsidRPr="003C15DC">
        <w:t xml:space="preserve">LA–ICP–MS </w:t>
      </w:r>
      <w:r w:rsidR="003C15DC">
        <w:t xml:space="preserve">analytical </w:t>
      </w:r>
      <w:r w:rsidRPr="006F315C">
        <w:t xml:space="preserve">session to ensure confidence in </w:t>
      </w:r>
      <w:r>
        <w:t xml:space="preserve">analytical data obtained. Analysed </w:t>
      </w:r>
      <w:r w:rsidRPr="006F315C">
        <w:t xml:space="preserve">Durango apatite </w:t>
      </w:r>
      <w:proofErr w:type="spellStart"/>
      <w:r>
        <w:t>AUPb</w:t>
      </w:r>
      <w:proofErr w:type="spellEnd"/>
      <w:r w:rsidRPr="006F315C">
        <w:t xml:space="preserve"> </w:t>
      </w:r>
      <w:r w:rsidRPr="006F315C">
        <w:rPr>
          <w:vertAlign w:val="superscript"/>
        </w:rPr>
        <w:t>207</w:t>
      </w:r>
      <w:r w:rsidRPr="006F315C">
        <w:t xml:space="preserve">Pb corrected </w:t>
      </w:r>
      <w:r w:rsidRPr="003C7EAF">
        <w:rPr>
          <w:vertAlign w:val="superscript"/>
        </w:rPr>
        <w:t>206</w:t>
      </w:r>
      <w:r w:rsidRPr="006F315C">
        <w:t>Pb/</w:t>
      </w:r>
      <w:r w:rsidRPr="003C7EAF">
        <w:rPr>
          <w:vertAlign w:val="superscript"/>
        </w:rPr>
        <w:t>238</w:t>
      </w:r>
      <w:r w:rsidRPr="006F315C">
        <w:t xml:space="preserve">U weighted mean ages </w:t>
      </w:r>
      <w:r>
        <w:t>are shown in Fig. S1, and yield ages of</w:t>
      </w:r>
      <w:r w:rsidRPr="006F315C">
        <w:t xml:space="preserve"> 32.73</w:t>
      </w:r>
      <w:r w:rsidR="001979BF">
        <w:t xml:space="preserve"> </w:t>
      </w:r>
      <w:r w:rsidRPr="006F315C">
        <w:t>±</w:t>
      </w:r>
      <w:r w:rsidR="001979BF">
        <w:t xml:space="preserve"> </w:t>
      </w:r>
      <w:r w:rsidRPr="006F315C">
        <w:t>1.22 Ma (Session LA-a) a</w:t>
      </w:r>
      <w:r>
        <w:t>nd 31.44</w:t>
      </w:r>
      <w:r w:rsidR="001979BF">
        <w:t xml:space="preserve"> </w:t>
      </w:r>
      <w:r>
        <w:t>±</w:t>
      </w:r>
      <w:r w:rsidR="001979BF">
        <w:t xml:space="preserve"> </w:t>
      </w:r>
      <w:r>
        <w:t>1.73 Ma (Session LA-b).</w:t>
      </w:r>
      <w:r w:rsidRPr="006F315C">
        <w:t xml:space="preserve"> </w:t>
      </w:r>
      <w:r>
        <w:t>These weighted mean ages both</w:t>
      </w:r>
      <w:r w:rsidRPr="006F315C">
        <w:t xml:space="preserve"> </w:t>
      </w:r>
      <w:r>
        <w:t xml:space="preserve">lie in </w:t>
      </w:r>
      <w:r w:rsidRPr="006F315C">
        <w:t xml:space="preserve">good agreement with the published </w:t>
      </w:r>
      <w:r w:rsidRPr="006F315C">
        <w:rPr>
          <w:vertAlign w:val="superscript"/>
        </w:rPr>
        <w:t>40</w:t>
      </w:r>
      <w:r w:rsidRPr="006F315C">
        <w:t>Ar/</w:t>
      </w:r>
      <w:r w:rsidRPr="006F315C">
        <w:rPr>
          <w:vertAlign w:val="superscript"/>
        </w:rPr>
        <w:t>39</w:t>
      </w:r>
      <w:r w:rsidRPr="006F315C">
        <w:t>Ar age (31.44</w:t>
      </w:r>
      <w:r w:rsidR="001979BF">
        <w:t xml:space="preserve"> </w:t>
      </w:r>
      <w:r w:rsidRPr="006F315C">
        <w:t>±</w:t>
      </w:r>
      <w:r w:rsidR="001979BF">
        <w:t xml:space="preserve"> </w:t>
      </w:r>
      <w:r w:rsidRPr="006F315C">
        <w:t xml:space="preserve">0.18 Ma; McDowell, McIntosh, &amp; Farley 2005) and </w:t>
      </w:r>
      <w:r w:rsidRPr="003C7EAF">
        <w:rPr>
          <w:vertAlign w:val="superscript"/>
        </w:rPr>
        <w:t>207</w:t>
      </w:r>
      <w:r w:rsidRPr="006F315C">
        <w:t>Pb corrected ages (32.20</w:t>
      </w:r>
      <w:r w:rsidR="001979BF">
        <w:t xml:space="preserve"> </w:t>
      </w:r>
      <w:r w:rsidRPr="006F315C">
        <w:t>±</w:t>
      </w:r>
      <w:r w:rsidR="001979BF">
        <w:t xml:space="preserve"> </w:t>
      </w:r>
      <w:r w:rsidR="00A20C74">
        <w:t xml:space="preserve">0.51 Ma; Chew, Petrus, &amp; </w:t>
      </w:r>
      <w:proofErr w:type="spellStart"/>
      <w:r w:rsidR="00A20C74">
        <w:t>Kamber</w:t>
      </w:r>
      <w:proofErr w:type="spellEnd"/>
      <w:r w:rsidRPr="006F315C">
        <w:t xml:space="preserve"> 2014).</w:t>
      </w:r>
      <w:r>
        <w:t xml:space="preserve"> Analysed </w:t>
      </w:r>
      <w:r w:rsidRPr="006F315C">
        <w:t xml:space="preserve">McClure apatite </w:t>
      </w:r>
      <w:r w:rsidRPr="006F315C">
        <w:rPr>
          <w:vertAlign w:val="superscript"/>
        </w:rPr>
        <w:t>207</w:t>
      </w:r>
      <w:r w:rsidRPr="006F315C">
        <w:t xml:space="preserve">Pb corrected </w:t>
      </w:r>
      <w:r w:rsidRPr="006F315C">
        <w:rPr>
          <w:vertAlign w:val="superscript"/>
        </w:rPr>
        <w:t>206</w:t>
      </w:r>
      <w:r w:rsidRPr="006F315C">
        <w:t>Pb/</w:t>
      </w:r>
      <w:r w:rsidRPr="006F315C">
        <w:rPr>
          <w:vertAlign w:val="superscript"/>
        </w:rPr>
        <w:t>238</w:t>
      </w:r>
      <w:r w:rsidRPr="006F315C">
        <w:t xml:space="preserve">U weighted mean ages </w:t>
      </w:r>
      <w:r>
        <w:t xml:space="preserve">are shown in Fig. S2, and yield weighted mean ages </w:t>
      </w:r>
      <w:r w:rsidRPr="006F315C">
        <w:t>of 524.82</w:t>
      </w:r>
      <w:r w:rsidR="001979BF">
        <w:t xml:space="preserve"> </w:t>
      </w:r>
      <w:r w:rsidRPr="006F315C">
        <w:t>±</w:t>
      </w:r>
      <w:r w:rsidR="001979BF">
        <w:t xml:space="preserve"> </w:t>
      </w:r>
      <w:r w:rsidRPr="006F315C">
        <w:t>6.42 Ma (Session LA-a) and 528.71±6.93 Ma (Session LA-b)</w:t>
      </w:r>
      <w:r>
        <w:t>. McClure apatite ages</w:t>
      </w:r>
      <w:r w:rsidRPr="006F315C">
        <w:t xml:space="preserve"> are in agreement with the published TIMS age of 523.51</w:t>
      </w:r>
      <w:r w:rsidR="003C15DC">
        <w:t xml:space="preserve"> </w:t>
      </w:r>
      <w:r w:rsidRPr="006F315C">
        <w:t>±</w:t>
      </w:r>
      <w:r w:rsidR="003C15DC">
        <w:t xml:space="preserve"> </w:t>
      </w:r>
      <w:r w:rsidR="00A20C74">
        <w:t>1.47 Ma (</w:t>
      </w:r>
      <w:proofErr w:type="spellStart"/>
      <w:r w:rsidR="00A20C74">
        <w:t>Schoene</w:t>
      </w:r>
      <w:proofErr w:type="spellEnd"/>
      <w:r w:rsidR="00A20C74">
        <w:t xml:space="preserve"> &amp; Bowring</w:t>
      </w:r>
      <w:r w:rsidRPr="006F315C">
        <w:t xml:space="preserve"> 2006). </w:t>
      </w:r>
      <w:r>
        <w:t xml:space="preserve">Observed agreement of secondary standard </w:t>
      </w:r>
      <w:proofErr w:type="spellStart"/>
      <w:r>
        <w:t>AUPb</w:t>
      </w:r>
      <w:proofErr w:type="spellEnd"/>
      <w:r>
        <w:t xml:space="preserve"> ages with published age constraints of these materials allows for confident use of </w:t>
      </w:r>
      <w:proofErr w:type="spellStart"/>
      <w:r>
        <w:t>AUPb</w:t>
      </w:r>
      <w:proofErr w:type="spellEnd"/>
      <w:r>
        <w:t xml:space="preserve"> isotopic data of unknowns analysed in this study. </w:t>
      </w:r>
    </w:p>
    <w:p w:rsidR="00D80DAB" w:rsidRPr="00D80DAB" w:rsidRDefault="00D80DAB" w:rsidP="00D80DAB">
      <w:pPr>
        <w:spacing w:line="480" w:lineRule="auto"/>
        <w:jc w:val="both"/>
        <w:rPr>
          <w:sz w:val="20"/>
        </w:rPr>
      </w:pPr>
      <w:r>
        <w:rPr>
          <w:noProof/>
          <w:lang w:eastAsia="en-AU"/>
        </w:rPr>
        <w:lastRenderedPageBreak/>
        <w:drawing>
          <wp:anchor distT="0" distB="0" distL="114300" distR="114300" simplePos="0" relativeHeight="251659264" behindDoc="1" locked="0" layoutInCell="1" allowOverlap="1">
            <wp:simplePos x="0" y="0"/>
            <wp:positionH relativeFrom="column">
              <wp:posOffset>-657225</wp:posOffset>
            </wp:positionH>
            <wp:positionV relativeFrom="paragraph">
              <wp:posOffset>4133215</wp:posOffset>
            </wp:positionV>
            <wp:extent cx="6997065" cy="2962275"/>
            <wp:effectExtent l="0" t="0" r="0" b="9525"/>
            <wp:wrapTight wrapText="bothSides">
              <wp:wrapPolygon edited="0">
                <wp:start x="0" y="0"/>
                <wp:lineTo x="0" y="21531"/>
                <wp:lineTo x="21524" y="21531"/>
                <wp:lineTo x="2152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cClure_WM_fi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997065" cy="296227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40" behindDoc="1" locked="0" layoutInCell="1" allowOverlap="1">
            <wp:simplePos x="0" y="0"/>
            <wp:positionH relativeFrom="margin">
              <wp:align>center</wp:align>
            </wp:positionH>
            <wp:positionV relativeFrom="paragraph">
              <wp:posOffset>0</wp:posOffset>
            </wp:positionV>
            <wp:extent cx="6891655" cy="2914650"/>
            <wp:effectExtent l="0" t="0" r="4445" b="0"/>
            <wp:wrapTight wrapText="bothSides">
              <wp:wrapPolygon edited="0">
                <wp:start x="0" y="0"/>
                <wp:lineTo x="0" y="21459"/>
                <wp:lineTo x="21554" y="21459"/>
                <wp:lineTo x="2155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urango_WM_fi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891655" cy="2914650"/>
                    </a:xfrm>
                    <a:prstGeom prst="rect">
                      <a:avLst/>
                    </a:prstGeom>
                  </pic:spPr>
                </pic:pic>
              </a:graphicData>
            </a:graphic>
            <wp14:sizeRelH relativeFrom="margin">
              <wp14:pctWidth>0</wp14:pctWidth>
            </wp14:sizeRelH>
            <wp14:sizeRelV relativeFrom="margin">
              <wp14:pctHeight>0</wp14:pctHeight>
            </wp14:sizeRelV>
          </wp:anchor>
        </w:drawing>
      </w:r>
      <w:r>
        <w:rPr>
          <w:b/>
        </w:rPr>
        <w:t>F</w:t>
      </w:r>
      <w:r w:rsidRPr="00D80DAB">
        <w:rPr>
          <w:b/>
          <w:sz w:val="20"/>
        </w:rPr>
        <w:t>ig. S1</w:t>
      </w:r>
      <w:r w:rsidR="00A95F33">
        <w:rPr>
          <w:b/>
          <w:sz w:val="20"/>
        </w:rPr>
        <w:t>.</w:t>
      </w:r>
      <w:r w:rsidRPr="00D80DAB">
        <w:rPr>
          <w:b/>
          <w:sz w:val="20"/>
        </w:rPr>
        <w:t xml:space="preserve"> </w:t>
      </w:r>
      <w:r w:rsidRPr="00D80DAB">
        <w:rPr>
          <w:sz w:val="20"/>
        </w:rPr>
        <w:t xml:space="preserve">Durango apatite </w:t>
      </w:r>
      <w:r w:rsidRPr="00D80DAB">
        <w:rPr>
          <w:sz w:val="20"/>
          <w:vertAlign w:val="superscript"/>
        </w:rPr>
        <w:t>207</w:t>
      </w:r>
      <w:r w:rsidRPr="00D80DAB">
        <w:rPr>
          <w:sz w:val="20"/>
        </w:rPr>
        <w:t xml:space="preserve">Pb corrected </w:t>
      </w:r>
      <w:r w:rsidRPr="00D80DAB">
        <w:rPr>
          <w:sz w:val="20"/>
          <w:vertAlign w:val="superscript"/>
        </w:rPr>
        <w:t>206</w:t>
      </w:r>
      <w:r w:rsidRPr="00D80DAB">
        <w:rPr>
          <w:sz w:val="20"/>
        </w:rPr>
        <w:t>Pb/</w:t>
      </w:r>
      <w:r w:rsidRPr="00D80DAB">
        <w:rPr>
          <w:sz w:val="20"/>
          <w:vertAlign w:val="superscript"/>
        </w:rPr>
        <w:t>238</w:t>
      </w:r>
      <w:r w:rsidRPr="00D80DAB">
        <w:rPr>
          <w:sz w:val="20"/>
        </w:rPr>
        <w:t>U age weighted mean for standards interspaced in LA</w:t>
      </w:r>
      <w:r w:rsidR="008A2C7A">
        <w:t>–</w:t>
      </w:r>
      <w:r w:rsidR="008A2C7A">
        <w:rPr>
          <w:sz w:val="20"/>
        </w:rPr>
        <w:t>ICP</w:t>
      </w:r>
      <w:r w:rsidR="008A2C7A">
        <w:t>–</w:t>
      </w:r>
      <w:r w:rsidRPr="00D80DAB">
        <w:rPr>
          <w:sz w:val="20"/>
        </w:rPr>
        <w:t>MS analytical sessions. Individual spot error bars and weighted mean uncertainty reflect 2</w:t>
      </w:r>
      <w:r w:rsidRPr="00D80DAB">
        <w:rPr>
          <w:rFonts w:cstheme="minorHAnsi"/>
          <w:sz w:val="20"/>
        </w:rPr>
        <w:t>σ</w:t>
      </w:r>
      <w:r w:rsidRPr="00D80DAB">
        <w:rPr>
          <w:sz w:val="20"/>
        </w:rPr>
        <w:t xml:space="preserve"> errors. Two published ages of Durango apatite constrain standard age at 31.44</w:t>
      </w:r>
      <w:r w:rsidR="001979BF">
        <w:rPr>
          <w:sz w:val="20"/>
        </w:rPr>
        <w:t xml:space="preserve"> </w:t>
      </w:r>
      <w:r w:rsidRPr="00D80DAB">
        <w:rPr>
          <w:sz w:val="20"/>
        </w:rPr>
        <w:t>±</w:t>
      </w:r>
      <w:r w:rsidR="001979BF">
        <w:rPr>
          <w:sz w:val="20"/>
        </w:rPr>
        <w:t xml:space="preserve"> </w:t>
      </w:r>
      <w:r w:rsidRPr="00D80DAB">
        <w:rPr>
          <w:sz w:val="20"/>
        </w:rPr>
        <w:t xml:space="preserve">0.18 Ma (McDowell, </w:t>
      </w:r>
      <w:r w:rsidRPr="0095276D">
        <w:rPr>
          <w:i/>
          <w:sz w:val="20"/>
        </w:rPr>
        <w:t>et al</w:t>
      </w:r>
      <w:r w:rsidRPr="00D80DAB">
        <w:rPr>
          <w:sz w:val="20"/>
        </w:rPr>
        <w:t>. 2005) and 32.20</w:t>
      </w:r>
      <w:r w:rsidR="001979BF">
        <w:rPr>
          <w:sz w:val="20"/>
        </w:rPr>
        <w:t xml:space="preserve"> </w:t>
      </w:r>
      <w:r w:rsidRPr="00D80DAB">
        <w:rPr>
          <w:sz w:val="20"/>
        </w:rPr>
        <w:t>±</w:t>
      </w:r>
      <w:r w:rsidR="001979BF">
        <w:rPr>
          <w:sz w:val="20"/>
        </w:rPr>
        <w:t xml:space="preserve"> </w:t>
      </w:r>
      <w:r w:rsidRPr="00D80DAB">
        <w:rPr>
          <w:sz w:val="20"/>
        </w:rPr>
        <w:t xml:space="preserve">0.51 Ma (Chew </w:t>
      </w:r>
      <w:r w:rsidRPr="0095276D">
        <w:rPr>
          <w:i/>
          <w:sz w:val="20"/>
        </w:rPr>
        <w:t>et al</w:t>
      </w:r>
      <w:r w:rsidR="00A20C74">
        <w:rPr>
          <w:sz w:val="20"/>
        </w:rPr>
        <w:t>.</w:t>
      </w:r>
      <w:r w:rsidRPr="00D80DAB">
        <w:rPr>
          <w:sz w:val="20"/>
        </w:rPr>
        <w:t xml:space="preserve"> 2014). </w:t>
      </w:r>
    </w:p>
    <w:p w:rsidR="00D80DAB" w:rsidRPr="00D80DAB" w:rsidRDefault="00D80DAB" w:rsidP="00D80DAB">
      <w:pPr>
        <w:spacing w:line="480" w:lineRule="auto"/>
        <w:jc w:val="both"/>
        <w:rPr>
          <w:rFonts w:cstheme="minorHAnsi"/>
          <w:sz w:val="20"/>
        </w:rPr>
      </w:pPr>
      <w:r w:rsidRPr="00D80DAB">
        <w:rPr>
          <w:b/>
          <w:sz w:val="20"/>
        </w:rPr>
        <w:t>Fig. S2</w:t>
      </w:r>
      <w:r w:rsidR="00A95F33">
        <w:rPr>
          <w:b/>
          <w:sz w:val="20"/>
        </w:rPr>
        <w:t>.</w:t>
      </w:r>
      <w:r w:rsidRPr="00D80DAB">
        <w:rPr>
          <w:b/>
          <w:sz w:val="20"/>
        </w:rPr>
        <w:t xml:space="preserve"> </w:t>
      </w:r>
      <w:r w:rsidRPr="00D80DAB">
        <w:rPr>
          <w:sz w:val="20"/>
        </w:rPr>
        <w:t xml:space="preserve">McClure apatite </w:t>
      </w:r>
      <w:r w:rsidRPr="00D80DAB">
        <w:rPr>
          <w:sz w:val="20"/>
          <w:vertAlign w:val="superscript"/>
        </w:rPr>
        <w:t>207</w:t>
      </w:r>
      <w:r w:rsidRPr="00D80DAB">
        <w:rPr>
          <w:sz w:val="20"/>
        </w:rPr>
        <w:t xml:space="preserve">Pb corrected </w:t>
      </w:r>
      <w:r w:rsidRPr="00D80DAB">
        <w:rPr>
          <w:sz w:val="20"/>
          <w:vertAlign w:val="superscript"/>
        </w:rPr>
        <w:t>206</w:t>
      </w:r>
      <w:r w:rsidRPr="00D80DAB">
        <w:rPr>
          <w:sz w:val="20"/>
        </w:rPr>
        <w:t>Pb/</w:t>
      </w:r>
      <w:r w:rsidRPr="00D80DAB">
        <w:rPr>
          <w:sz w:val="20"/>
          <w:vertAlign w:val="superscript"/>
        </w:rPr>
        <w:t>238</w:t>
      </w:r>
      <w:r w:rsidRPr="00D80DAB">
        <w:rPr>
          <w:sz w:val="20"/>
        </w:rPr>
        <w:t xml:space="preserve">U age weighted mean </w:t>
      </w:r>
      <w:r w:rsidR="003C7EAF">
        <w:rPr>
          <w:sz w:val="20"/>
        </w:rPr>
        <w:t>for standards interspaced in LA</w:t>
      </w:r>
      <w:r w:rsidR="003C7EAF" w:rsidRPr="003C7EAF">
        <w:rPr>
          <w:sz w:val="20"/>
        </w:rPr>
        <w:t>–</w:t>
      </w:r>
      <w:r w:rsidR="003C7EAF">
        <w:rPr>
          <w:sz w:val="20"/>
        </w:rPr>
        <w:t>ICP</w:t>
      </w:r>
      <w:r w:rsidR="003C7EAF" w:rsidRPr="003C7EAF">
        <w:rPr>
          <w:sz w:val="20"/>
        </w:rPr>
        <w:t>–</w:t>
      </w:r>
      <w:r w:rsidRPr="00D80DAB">
        <w:rPr>
          <w:sz w:val="20"/>
        </w:rPr>
        <w:t>MS analytical sessions. Individual spot error bars and weighted mean uncertainty reflect 2</w:t>
      </w:r>
      <w:r w:rsidRPr="00D80DAB">
        <w:rPr>
          <w:rFonts w:cstheme="minorHAnsi"/>
          <w:sz w:val="20"/>
        </w:rPr>
        <w:t>σ</w:t>
      </w:r>
      <w:r w:rsidRPr="00D80DAB">
        <w:rPr>
          <w:sz w:val="20"/>
        </w:rPr>
        <w:t xml:space="preserve"> errors. McClure apatite age has been previously constrained at 523.51</w:t>
      </w:r>
      <w:r w:rsidR="001979BF">
        <w:rPr>
          <w:sz w:val="20"/>
        </w:rPr>
        <w:t xml:space="preserve"> </w:t>
      </w:r>
      <w:r w:rsidRPr="00D80DAB">
        <w:rPr>
          <w:sz w:val="20"/>
        </w:rPr>
        <w:t>±</w:t>
      </w:r>
      <w:r w:rsidR="001979BF">
        <w:rPr>
          <w:sz w:val="20"/>
        </w:rPr>
        <w:t xml:space="preserve"> </w:t>
      </w:r>
      <w:r w:rsidR="00A20C74">
        <w:rPr>
          <w:sz w:val="20"/>
        </w:rPr>
        <w:t>1.47 Ma (</w:t>
      </w:r>
      <w:proofErr w:type="spellStart"/>
      <w:r w:rsidR="00A20C74">
        <w:rPr>
          <w:sz w:val="20"/>
        </w:rPr>
        <w:t>Schoene</w:t>
      </w:r>
      <w:proofErr w:type="spellEnd"/>
      <w:r w:rsidR="00A20C74">
        <w:rPr>
          <w:sz w:val="20"/>
        </w:rPr>
        <w:t xml:space="preserve"> &amp; Bowring</w:t>
      </w:r>
      <w:r w:rsidRPr="00D80DAB">
        <w:rPr>
          <w:sz w:val="20"/>
        </w:rPr>
        <w:t xml:space="preserve"> 2006). </w:t>
      </w:r>
    </w:p>
    <w:p w:rsidR="00C02F21" w:rsidRDefault="00C02F21" w:rsidP="001E6018">
      <w:pPr>
        <w:spacing w:line="480" w:lineRule="auto"/>
        <w:jc w:val="both"/>
      </w:pPr>
    </w:p>
    <w:p w:rsidR="00D80DAB" w:rsidRDefault="00D80DAB" w:rsidP="001E6018">
      <w:pPr>
        <w:spacing w:line="480" w:lineRule="auto"/>
        <w:jc w:val="both"/>
      </w:pPr>
    </w:p>
    <w:p w:rsidR="00992F9C" w:rsidRPr="00992F9C" w:rsidRDefault="00992F9C" w:rsidP="001E6018">
      <w:pPr>
        <w:spacing w:line="480" w:lineRule="auto"/>
        <w:jc w:val="both"/>
        <w:rPr>
          <w:i/>
        </w:rPr>
      </w:pPr>
      <w:r>
        <w:rPr>
          <w:i/>
        </w:rPr>
        <w:lastRenderedPageBreak/>
        <w:t>EPMA Secondary Standards</w:t>
      </w:r>
    </w:p>
    <w:p w:rsidR="00D80DAB" w:rsidRDefault="00D80DAB" w:rsidP="001E6018">
      <w:pPr>
        <w:spacing w:line="480" w:lineRule="auto"/>
        <w:jc w:val="both"/>
      </w:pPr>
      <w:r w:rsidRPr="00D80DAB">
        <w:rPr>
          <w:noProof/>
          <w:sz w:val="20"/>
          <w:lang w:eastAsia="en-AU"/>
        </w:rPr>
        <w:drawing>
          <wp:anchor distT="0" distB="0" distL="114300" distR="114300" simplePos="0" relativeHeight="251663360" behindDoc="1" locked="0" layoutInCell="1" allowOverlap="1" wp14:anchorId="62FEAD20" wp14:editId="5F44941E">
            <wp:simplePos x="0" y="0"/>
            <wp:positionH relativeFrom="margin">
              <wp:posOffset>-433705</wp:posOffset>
            </wp:positionH>
            <wp:positionV relativeFrom="paragraph">
              <wp:posOffset>4326255</wp:posOffset>
            </wp:positionV>
            <wp:extent cx="6808470" cy="2619375"/>
            <wp:effectExtent l="0" t="0" r="0" b="9525"/>
            <wp:wrapTight wrapText="bothSides">
              <wp:wrapPolygon edited="0">
                <wp:start x="483" y="0"/>
                <wp:lineTo x="121" y="943"/>
                <wp:lineTo x="121" y="1257"/>
                <wp:lineTo x="483" y="2513"/>
                <wp:lineTo x="483" y="5027"/>
                <wp:lineTo x="121" y="5812"/>
                <wp:lineTo x="121" y="6284"/>
                <wp:lineTo x="483" y="7540"/>
                <wp:lineTo x="0" y="9897"/>
                <wp:lineTo x="0" y="11782"/>
                <wp:lineTo x="483" y="12567"/>
                <wp:lineTo x="483" y="15081"/>
                <wp:lineTo x="121" y="15552"/>
                <wp:lineTo x="121" y="16023"/>
                <wp:lineTo x="483" y="17594"/>
                <wp:lineTo x="483" y="20108"/>
                <wp:lineTo x="121" y="20422"/>
                <wp:lineTo x="121" y="20736"/>
                <wp:lineTo x="483" y="21521"/>
                <wp:lineTo x="21515" y="21521"/>
                <wp:lineTo x="21515" y="0"/>
                <wp:lineTo x="483"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PMA_standards_2019_v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08470" cy="2619375"/>
                    </a:xfrm>
                    <a:prstGeom prst="rect">
                      <a:avLst/>
                    </a:prstGeom>
                  </pic:spPr>
                </pic:pic>
              </a:graphicData>
            </a:graphic>
            <wp14:sizeRelH relativeFrom="margin">
              <wp14:pctWidth>0</wp14:pctWidth>
            </wp14:sizeRelH>
            <wp14:sizeRelV relativeFrom="margin">
              <wp14:pctHeight>0</wp14:pctHeight>
            </wp14:sizeRelV>
          </wp:anchor>
        </w:drawing>
      </w:r>
      <w:r w:rsidR="003027DC" w:rsidRPr="00755D5D">
        <w:t xml:space="preserve">Durango apatite </w:t>
      </w:r>
      <w:r w:rsidR="003027DC">
        <w:t>was used as a secondary standard for verification of the accuracy of geochemical data collected in EPMA sessions, and was interspaced throughout analytical sessions. The most important monitored elements for use in this study are the halogens F and Cl, which cannot be robustly measured by laser ablation methods, and are integral for calculation of the r</w:t>
      </w:r>
      <w:r w:rsidR="003027DC">
        <w:rPr>
          <w:vertAlign w:val="subscript"/>
        </w:rPr>
        <w:t>mr0</w:t>
      </w:r>
      <w:r w:rsidR="003027DC">
        <w:t xml:space="preserve"> multi-kinetic variable. </w:t>
      </w:r>
      <w:r w:rsidR="00A6208E">
        <w:t xml:space="preserve">Different Durango crystals were analysed in each session, in order to ensure sufficient distance </w:t>
      </w:r>
      <w:r w:rsidR="003C15DC">
        <w:t xml:space="preserve">allowed </w:t>
      </w:r>
      <w:r w:rsidR="00A6208E">
        <w:t xml:space="preserve">between analysed regions due to the highly mobile nature of F and Cl. </w:t>
      </w:r>
      <w:r w:rsidR="003027DC">
        <w:t xml:space="preserve">Measured halogen content of Durango apatite is presented in Fig. S3. Across analytical sessions, Durango apatites yielded </w:t>
      </w:r>
      <w:r w:rsidR="003027DC" w:rsidRPr="00755D5D">
        <w:t xml:space="preserve">weighted mean abundances of </w:t>
      </w:r>
      <w:r w:rsidR="003027DC">
        <w:rPr>
          <w:rFonts w:cstheme="minorHAnsi"/>
        </w:rPr>
        <w:t>3.47</w:t>
      </w:r>
      <w:r w:rsidR="001979BF">
        <w:rPr>
          <w:rFonts w:cstheme="minorHAnsi"/>
        </w:rPr>
        <w:t xml:space="preserve"> </w:t>
      </w:r>
      <w:r w:rsidR="003027DC" w:rsidRPr="00755D5D">
        <w:rPr>
          <w:rFonts w:cstheme="minorHAnsi"/>
        </w:rPr>
        <w:t>±</w:t>
      </w:r>
      <w:r w:rsidR="001979BF">
        <w:rPr>
          <w:rFonts w:cstheme="minorHAnsi"/>
        </w:rPr>
        <w:t xml:space="preserve"> </w:t>
      </w:r>
      <w:r w:rsidR="003027DC" w:rsidRPr="00755D5D">
        <w:rPr>
          <w:rFonts w:cstheme="minorHAnsi"/>
        </w:rPr>
        <w:t xml:space="preserve">0.01 </w:t>
      </w:r>
      <w:proofErr w:type="spellStart"/>
      <w:r w:rsidR="003027DC" w:rsidRPr="00755D5D">
        <w:rPr>
          <w:rFonts w:cstheme="minorHAnsi"/>
        </w:rPr>
        <w:t>wt</w:t>
      </w:r>
      <w:proofErr w:type="spellEnd"/>
      <w:r w:rsidR="003027DC" w:rsidRPr="00755D5D">
        <w:rPr>
          <w:rFonts w:cstheme="minorHAnsi"/>
        </w:rPr>
        <w:t xml:space="preserve">% </w:t>
      </w:r>
      <w:r w:rsidR="003027DC" w:rsidRPr="00755D5D">
        <w:t>F (Protoc</w:t>
      </w:r>
      <w:r w:rsidR="003027DC">
        <w:t>ol 1; Session EPMA-a) and 3.37</w:t>
      </w:r>
      <w:r w:rsidR="001979BF">
        <w:t xml:space="preserve"> </w:t>
      </w:r>
      <w:r w:rsidR="003027DC" w:rsidRPr="00755D5D">
        <w:rPr>
          <w:rFonts w:cstheme="minorHAnsi"/>
        </w:rPr>
        <w:t>±</w:t>
      </w:r>
      <w:r w:rsidR="001979BF">
        <w:rPr>
          <w:rFonts w:cstheme="minorHAnsi"/>
        </w:rPr>
        <w:t xml:space="preserve"> </w:t>
      </w:r>
      <w:r w:rsidR="003027DC" w:rsidRPr="00755D5D">
        <w:t>0.0</w:t>
      </w:r>
      <w:r w:rsidR="003027DC">
        <w:t>1</w:t>
      </w:r>
      <w:r w:rsidR="003027DC" w:rsidRPr="00755D5D">
        <w:rPr>
          <w:rFonts w:cstheme="minorHAnsi"/>
        </w:rPr>
        <w:t xml:space="preserve"> </w:t>
      </w:r>
      <w:proofErr w:type="spellStart"/>
      <w:r w:rsidR="003027DC" w:rsidRPr="00755D5D">
        <w:rPr>
          <w:rFonts w:cstheme="minorHAnsi"/>
        </w:rPr>
        <w:t>wt</w:t>
      </w:r>
      <w:proofErr w:type="spellEnd"/>
      <w:r w:rsidR="003027DC" w:rsidRPr="00755D5D">
        <w:rPr>
          <w:rFonts w:cstheme="minorHAnsi"/>
        </w:rPr>
        <w:t xml:space="preserve">% </w:t>
      </w:r>
      <w:r w:rsidR="003027DC" w:rsidRPr="00755D5D">
        <w:t xml:space="preserve">F (Protocol 2; Session EPMA-b); and </w:t>
      </w:r>
      <w:r w:rsidR="003027DC">
        <w:rPr>
          <w:rFonts w:cstheme="minorHAnsi"/>
        </w:rPr>
        <w:t>0.41</w:t>
      </w:r>
      <w:r w:rsidR="001979BF">
        <w:rPr>
          <w:rFonts w:cstheme="minorHAnsi"/>
        </w:rPr>
        <w:t xml:space="preserve"> </w:t>
      </w:r>
      <w:r w:rsidR="003027DC">
        <w:rPr>
          <w:rFonts w:cstheme="minorHAnsi"/>
        </w:rPr>
        <w:t>±</w:t>
      </w:r>
      <w:r w:rsidR="001979BF">
        <w:rPr>
          <w:rFonts w:cstheme="minorHAnsi"/>
        </w:rPr>
        <w:t xml:space="preserve"> </w:t>
      </w:r>
      <w:r w:rsidR="003027DC">
        <w:rPr>
          <w:rFonts w:cstheme="minorHAnsi"/>
        </w:rPr>
        <w:t>0.01</w:t>
      </w:r>
      <w:r w:rsidR="003027DC" w:rsidRPr="00755D5D">
        <w:rPr>
          <w:rFonts w:cstheme="minorHAnsi"/>
        </w:rPr>
        <w:t xml:space="preserve"> </w:t>
      </w:r>
      <w:proofErr w:type="spellStart"/>
      <w:r w:rsidR="003027DC" w:rsidRPr="00755D5D">
        <w:rPr>
          <w:rFonts w:cstheme="minorHAnsi"/>
        </w:rPr>
        <w:t>wt</w:t>
      </w:r>
      <w:proofErr w:type="spellEnd"/>
      <w:r w:rsidR="003027DC" w:rsidRPr="00755D5D">
        <w:rPr>
          <w:rFonts w:cstheme="minorHAnsi"/>
        </w:rPr>
        <w:t xml:space="preserve">% </w:t>
      </w:r>
      <w:r w:rsidR="003027DC" w:rsidRPr="00755D5D">
        <w:t>Cl (Protoc</w:t>
      </w:r>
      <w:r w:rsidR="003027DC">
        <w:t>ol 1; Session EPMA-a) and 0.43</w:t>
      </w:r>
      <w:r w:rsidR="001979BF">
        <w:t xml:space="preserve"> </w:t>
      </w:r>
      <w:r w:rsidR="003027DC" w:rsidRPr="00755D5D">
        <w:rPr>
          <w:rFonts w:cstheme="minorHAnsi"/>
        </w:rPr>
        <w:t>±</w:t>
      </w:r>
      <w:r w:rsidR="001979BF">
        <w:rPr>
          <w:rFonts w:cstheme="minorHAnsi"/>
        </w:rPr>
        <w:t xml:space="preserve"> </w:t>
      </w:r>
      <w:r w:rsidR="003027DC">
        <w:t>0.01</w:t>
      </w:r>
      <w:r w:rsidR="003027DC" w:rsidRPr="00755D5D">
        <w:rPr>
          <w:rFonts w:cstheme="minorHAnsi"/>
        </w:rPr>
        <w:t xml:space="preserve"> </w:t>
      </w:r>
      <w:proofErr w:type="spellStart"/>
      <w:r w:rsidR="003027DC" w:rsidRPr="00755D5D">
        <w:rPr>
          <w:rFonts w:cstheme="minorHAnsi"/>
        </w:rPr>
        <w:t>wt</w:t>
      </w:r>
      <w:proofErr w:type="spellEnd"/>
      <w:r w:rsidR="003027DC" w:rsidRPr="00755D5D">
        <w:rPr>
          <w:rFonts w:cstheme="minorHAnsi"/>
        </w:rPr>
        <w:t xml:space="preserve">% </w:t>
      </w:r>
      <w:r w:rsidR="003027DC" w:rsidRPr="00755D5D">
        <w:t xml:space="preserve">Cl (Protocol 2; Session EPMA-b). </w:t>
      </w:r>
      <w:r w:rsidR="003027DC">
        <w:t xml:space="preserve">These halogen concentrations </w:t>
      </w:r>
      <w:r w:rsidR="003027DC" w:rsidRPr="00755D5D">
        <w:t>are consistent with published compositional data</w:t>
      </w:r>
      <w:r w:rsidR="003C15DC">
        <w:t xml:space="preserve"> of this standard</w:t>
      </w:r>
      <w:r w:rsidR="003027DC" w:rsidRPr="00755D5D">
        <w:t xml:space="preserve"> (3.35</w:t>
      </w:r>
      <w:r w:rsidR="001979BF">
        <w:t xml:space="preserve"> </w:t>
      </w:r>
      <w:r w:rsidR="003027DC" w:rsidRPr="00755D5D">
        <w:rPr>
          <w:rFonts w:cstheme="minorHAnsi"/>
        </w:rPr>
        <w:t>±</w:t>
      </w:r>
      <w:r w:rsidR="001979BF">
        <w:rPr>
          <w:rFonts w:cstheme="minorHAnsi"/>
        </w:rPr>
        <w:t xml:space="preserve"> </w:t>
      </w:r>
      <w:r w:rsidR="003027DC">
        <w:t>0.13</w:t>
      </w:r>
      <w:r w:rsidR="003027DC" w:rsidRPr="00755D5D">
        <w:t xml:space="preserve"> </w:t>
      </w:r>
      <w:proofErr w:type="spellStart"/>
      <w:r w:rsidR="003027DC" w:rsidRPr="00755D5D">
        <w:rPr>
          <w:rFonts w:cstheme="minorHAnsi"/>
        </w:rPr>
        <w:t>wt</w:t>
      </w:r>
      <w:proofErr w:type="spellEnd"/>
      <w:r w:rsidR="003027DC" w:rsidRPr="00755D5D">
        <w:rPr>
          <w:rFonts w:cstheme="minorHAnsi"/>
        </w:rPr>
        <w:t xml:space="preserve">% </w:t>
      </w:r>
      <w:r w:rsidR="003027DC" w:rsidRPr="00755D5D">
        <w:t xml:space="preserve">F; </w:t>
      </w:r>
      <w:r w:rsidR="003027DC" w:rsidRPr="00755D5D">
        <w:rPr>
          <w:noProof/>
        </w:rPr>
        <w:t xml:space="preserve">Marks </w:t>
      </w:r>
      <w:r w:rsidR="003027DC" w:rsidRPr="0095276D">
        <w:rPr>
          <w:i/>
          <w:noProof/>
        </w:rPr>
        <w:t>et al</w:t>
      </w:r>
      <w:r w:rsidR="00A20C74">
        <w:rPr>
          <w:noProof/>
        </w:rPr>
        <w:t>.</w:t>
      </w:r>
      <w:r w:rsidR="003027DC" w:rsidRPr="00755D5D">
        <w:rPr>
          <w:noProof/>
        </w:rPr>
        <w:t xml:space="preserve"> 2012</w:t>
      </w:r>
      <w:r w:rsidR="003027DC" w:rsidRPr="00755D5D">
        <w:t xml:space="preserve">; </w:t>
      </w:r>
      <w:r w:rsidR="001979BF" w:rsidRPr="001979BF">
        <w:rPr>
          <w:rFonts w:cstheme="minorHAnsi"/>
          <w:i/>
        </w:rPr>
        <w:t>c</w:t>
      </w:r>
      <w:r w:rsidR="001979BF">
        <w:rPr>
          <w:rFonts w:cstheme="minorHAnsi"/>
        </w:rPr>
        <w:t xml:space="preserve">. </w:t>
      </w:r>
      <w:r w:rsidR="003027DC" w:rsidRPr="00755D5D">
        <w:t xml:space="preserve">0.37–0.46 </w:t>
      </w:r>
      <w:proofErr w:type="spellStart"/>
      <w:r w:rsidR="003027DC" w:rsidRPr="00755D5D">
        <w:rPr>
          <w:rFonts w:cstheme="minorHAnsi"/>
        </w:rPr>
        <w:t>wt</w:t>
      </w:r>
      <w:proofErr w:type="spellEnd"/>
      <w:r w:rsidR="003027DC" w:rsidRPr="00755D5D">
        <w:rPr>
          <w:rFonts w:cstheme="minorHAnsi"/>
        </w:rPr>
        <w:t xml:space="preserve">% </w:t>
      </w:r>
      <w:r w:rsidR="003027DC" w:rsidRPr="00755D5D">
        <w:t xml:space="preserve">Cl; </w:t>
      </w:r>
      <w:r w:rsidR="003027DC" w:rsidRPr="00755D5D">
        <w:rPr>
          <w:noProof/>
        </w:rPr>
        <w:t xml:space="preserve">Chew </w:t>
      </w:r>
      <w:r w:rsidR="003027DC" w:rsidRPr="0095276D">
        <w:rPr>
          <w:i/>
          <w:noProof/>
        </w:rPr>
        <w:t>et al</w:t>
      </w:r>
      <w:r w:rsidR="00A20C74">
        <w:rPr>
          <w:noProof/>
        </w:rPr>
        <w:t>.</w:t>
      </w:r>
      <w:r w:rsidR="003027DC" w:rsidRPr="00755D5D">
        <w:rPr>
          <w:noProof/>
        </w:rPr>
        <w:t xml:space="preserve"> 2016)</w:t>
      </w:r>
      <w:r w:rsidR="003027DC" w:rsidRPr="00755D5D">
        <w:t>.</w:t>
      </w:r>
      <w:r w:rsidR="00A6208E">
        <w:t xml:space="preserve"> Such consistency between protocols and with published Durango halogen content would suggest both analytical protocols are sufficiently accurate for</w:t>
      </w:r>
      <w:r w:rsidR="00717789">
        <w:t xml:space="preserve"> robust</w:t>
      </w:r>
      <w:r w:rsidR="00A6208E">
        <w:t xml:space="preserve"> r</w:t>
      </w:r>
      <w:r w:rsidR="00A6208E">
        <w:rPr>
          <w:vertAlign w:val="subscript"/>
        </w:rPr>
        <w:t>mr0</w:t>
      </w:r>
      <w:r w:rsidR="00A6208E">
        <w:t xml:space="preserve"> calculation. </w:t>
      </w:r>
    </w:p>
    <w:p w:rsidR="00D80DAB" w:rsidRDefault="00D80DAB" w:rsidP="00D80DAB">
      <w:pPr>
        <w:spacing w:line="480" w:lineRule="auto"/>
        <w:jc w:val="both"/>
        <w:rPr>
          <w:sz w:val="20"/>
        </w:rPr>
      </w:pPr>
      <w:r w:rsidRPr="00D80DAB">
        <w:rPr>
          <w:b/>
          <w:sz w:val="20"/>
        </w:rPr>
        <w:t>Fig. S3</w:t>
      </w:r>
      <w:r w:rsidR="00A95F33">
        <w:rPr>
          <w:b/>
          <w:sz w:val="20"/>
        </w:rPr>
        <w:t>.</w:t>
      </w:r>
      <w:r w:rsidRPr="00D80DAB">
        <w:rPr>
          <w:sz w:val="20"/>
        </w:rPr>
        <w:t xml:space="preserve"> Measured oxide and elemental concentrations of interspaced Durango apatite standards from Protocol 1 (Session EPMA-a) and Protocol 2 (Session EPMA-b), where all error bars denote individual 2</w:t>
      </w:r>
      <w:r w:rsidRPr="00D80DAB">
        <w:rPr>
          <w:rFonts w:cstheme="minorHAnsi"/>
          <w:sz w:val="20"/>
        </w:rPr>
        <w:t>σ</w:t>
      </w:r>
      <w:r w:rsidR="003C15DC">
        <w:rPr>
          <w:sz w:val="20"/>
        </w:rPr>
        <w:t xml:space="preserve"> errors. Green s</w:t>
      </w:r>
      <w:r w:rsidRPr="00D80DAB">
        <w:rPr>
          <w:sz w:val="20"/>
        </w:rPr>
        <w:t xml:space="preserve">haded regions shows published Durango compositional ranges of Marks </w:t>
      </w:r>
      <w:r w:rsidRPr="0095276D">
        <w:rPr>
          <w:i/>
          <w:sz w:val="20"/>
        </w:rPr>
        <w:t>et al</w:t>
      </w:r>
      <w:r w:rsidRPr="00D80DAB">
        <w:rPr>
          <w:sz w:val="20"/>
        </w:rPr>
        <w:t xml:space="preserve">. (2012) and Chew </w:t>
      </w:r>
      <w:r w:rsidRPr="0095276D">
        <w:rPr>
          <w:i/>
          <w:sz w:val="20"/>
        </w:rPr>
        <w:t>et al</w:t>
      </w:r>
      <w:r w:rsidRPr="00D80DAB">
        <w:rPr>
          <w:sz w:val="20"/>
        </w:rPr>
        <w:t>. (2016) for comparison.</w:t>
      </w:r>
    </w:p>
    <w:p w:rsidR="00D80DAB" w:rsidRDefault="00D80DAB" w:rsidP="00D80DAB">
      <w:pPr>
        <w:spacing w:line="480" w:lineRule="auto"/>
        <w:jc w:val="both"/>
      </w:pPr>
      <w:r>
        <w:rPr>
          <w:noProof/>
          <w:lang w:eastAsia="en-AU"/>
        </w:rPr>
        <w:lastRenderedPageBreak/>
        <w:drawing>
          <wp:anchor distT="0" distB="0" distL="114300" distR="114300" simplePos="0" relativeHeight="251664384" behindDoc="1" locked="0" layoutInCell="1" allowOverlap="1">
            <wp:simplePos x="0" y="0"/>
            <wp:positionH relativeFrom="margin">
              <wp:align>center</wp:align>
            </wp:positionH>
            <wp:positionV relativeFrom="paragraph">
              <wp:posOffset>247650</wp:posOffset>
            </wp:positionV>
            <wp:extent cx="6383020" cy="7162800"/>
            <wp:effectExtent l="0" t="0" r="0" b="0"/>
            <wp:wrapTight wrapText="bothSides">
              <wp:wrapPolygon edited="0">
                <wp:start x="0" y="0"/>
                <wp:lineTo x="0" y="21543"/>
                <wp:lineTo x="21531" y="21543"/>
                <wp:lineTo x="2153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PMA_Protocol_comparison_v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83020" cy="7162800"/>
                    </a:xfrm>
                    <a:prstGeom prst="rect">
                      <a:avLst/>
                    </a:prstGeom>
                  </pic:spPr>
                </pic:pic>
              </a:graphicData>
            </a:graphic>
            <wp14:sizeRelH relativeFrom="margin">
              <wp14:pctWidth>0</wp14:pctWidth>
            </wp14:sizeRelH>
            <wp14:sizeRelV relativeFrom="margin">
              <wp14:pctHeight>0</wp14:pctHeight>
            </wp14:sizeRelV>
          </wp:anchor>
        </w:drawing>
      </w:r>
    </w:p>
    <w:p w:rsidR="00D80DAB" w:rsidRPr="00DD0C9A" w:rsidRDefault="00D80DAB" w:rsidP="001E6018">
      <w:pPr>
        <w:spacing w:line="480" w:lineRule="auto"/>
        <w:jc w:val="both"/>
        <w:rPr>
          <w:sz w:val="20"/>
        </w:rPr>
      </w:pPr>
      <w:r w:rsidRPr="00D80DAB">
        <w:rPr>
          <w:b/>
          <w:sz w:val="20"/>
        </w:rPr>
        <w:t>Fig. S4</w:t>
      </w:r>
      <w:r w:rsidR="00A95F33">
        <w:rPr>
          <w:b/>
          <w:sz w:val="20"/>
        </w:rPr>
        <w:t>.</w:t>
      </w:r>
      <w:r w:rsidRPr="00D80DAB">
        <w:rPr>
          <w:b/>
          <w:sz w:val="20"/>
        </w:rPr>
        <w:t xml:space="preserve"> </w:t>
      </w:r>
      <w:r w:rsidRPr="00D80DAB">
        <w:rPr>
          <w:sz w:val="20"/>
        </w:rPr>
        <w:t>Comparison of elemental determinations using apatite EPMA Protocol 1 (full suite analysis) and Protocol 2 (reduced suite analysis). Analytical data presented was collected in Session EPMA-a using EPMA parameters of Protocol 1, then raw data was subsequently reduced using Probe for EPMA software using 1) all e</w:t>
      </w:r>
      <w:r w:rsidR="003C15DC">
        <w:rPr>
          <w:sz w:val="20"/>
        </w:rPr>
        <w:t xml:space="preserve">lements measured in Protocol 1 </w:t>
      </w:r>
      <w:r w:rsidRPr="00D80DAB">
        <w:rPr>
          <w:sz w:val="20"/>
        </w:rPr>
        <w:t>and</w:t>
      </w:r>
      <w:r w:rsidR="003C15DC">
        <w:rPr>
          <w:sz w:val="20"/>
        </w:rPr>
        <w:t>;</w:t>
      </w:r>
      <w:r w:rsidRPr="00D80DAB">
        <w:rPr>
          <w:sz w:val="20"/>
        </w:rPr>
        <w:t xml:space="preserve"> 2) only elements which would be measured under Protocol 2. This allows for same-spot comparison between data reduction methods using elements measured in each protocol. Individual </w:t>
      </w:r>
      <w:r w:rsidRPr="00D80DAB">
        <w:rPr>
          <w:sz w:val="20"/>
        </w:rPr>
        <w:lastRenderedPageBreak/>
        <w:t>analyses are coloured based on the total weight percent of analysed elements reported for Protocol 2 which is used as an accuracy check, and error bars represent 2</w:t>
      </w:r>
      <w:r w:rsidRPr="00D80DAB">
        <w:rPr>
          <w:rFonts w:cstheme="minorHAnsi"/>
          <w:sz w:val="20"/>
        </w:rPr>
        <w:t>σ. Plots (</w:t>
      </w:r>
      <w:r w:rsidRPr="00D80DAB">
        <w:rPr>
          <w:rFonts w:cstheme="minorHAnsi"/>
          <w:b/>
          <w:sz w:val="20"/>
        </w:rPr>
        <w:t>a</w:t>
      </w:r>
      <w:r w:rsidRPr="00D80DAB">
        <w:rPr>
          <w:rFonts w:cstheme="minorHAnsi"/>
          <w:sz w:val="20"/>
        </w:rPr>
        <w:t>) and (</w:t>
      </w:r>
      <w:r w:rsidR="003C7EAF">
        <w:rPr>
          <w:rFonts w:cstheme="minorHAnsi"/>
          <w:b/>
          <w:sz w:val="20"/>
        </w:rPr>
        <w:t>c</w:t>
      </w:r>
      <w:r w:rsidR="003C7EAF" w:rsidRPr="003C7EAF">
        <w:rPr>
          <w:rFonts w:cstheme="minorHAnsi"/>
          <w:b/>
          <w:sz w:val="20"/>
        </w:rPr>
        <w:t>–</w:t>
      </w:r>
      <w:r w:rsidRPr="00D80DAB">
        <w:rPr>
          <w:rFonts w:cstheme="minorHAnsi"/>
          <w:b/>
          <w:sz w:val="20"/>
        </w:rPr>
        <w:t>f</w:t>
      </w:r>
      <w:r w:rsidRPr="00D80DAB">
        <w:rPr>
          <w:rFonts w:cstheme="minorHAnsi"/>
          <w:sz w:val="20"/>
        </w:rPr>
        <w:t xml:space="preserve">) </w:t>
      </w:r>
      <w:r w:rsidRPr="00D80DAB">
        <w:rPr>
          <w:sz w:val="20"/>
        </w:rPr>
        <w:t>have a 1:1 line for ease of comparison.</w:t>
      </w:r>
      <w:r w:rsidRPr="00D80DAB">
        <w:rPr>
          <w:rFonts w:cstheme="minorHAnsi"/>
          <w:sz w:val="20"/>
        </w:rPr>
        <w:t xml:space="preserve"> </w:t>
      </w:r>
      <w:r w:rsidRPr="00D80DAB">
        <w:rPr>
          <w:sz w:val="20"/>
        </w:rPr>
        <w:t>Individual plots are as follows: (</w:t>
      </w:r>
      <w:r w:rsidRPr="00D80DAB">
        <w:rPr>
          <w:b/>
          <w:sz w:val="20"/>
        </w:rPr>
        <w:t>a</w:t>
      </w:r>
      <w:r w:rsidRPr="00D80DAB">
        <w:rPr>
          <w:sz w:val="20"/>
        </w:rPr>
        <w:t>) inter-protocol comparison of calculated calcium content. (</w:t>
      </w:r>
      <w:r w:rsidRPr="00D80DAB">
        <w:rPr>
          <w:b/>
          <w:sz w:val="20"/>
        </w:rPr>
        <w:t>b</w:t>
      </w:r>
      <w:r w:rsidRPr="00D80DAB">
        <w:rPr>
          <w:sz w:val="20"/>
        </w:rPr>
        <w:t xml:space="preserve">) </w:t>
      </w:r>
      <w:proofErr w:type="spellStart"/>
      <w:r w:rsidRPr="00D80DAB">
        <w:rPr>
          <w:sz w:val="20"/>
        </w:rPr>
        <w:t>Biplot</w:t>
      </w:r>
      <w:proofErr w:type="spellEnd"/>
      <w:r w:rsidRPr="00D80DAB">
        <w:rPr>
          <w:sz w:val="20"/>
        </w:rPr>
        <w:t xml:space="preserve"> of calculated Ca </w:t>
      </w:r>
      <w:proofErr w:type="spellStart"/>
      <w:r w:rsidRPr="00D80DAB">
        <w:rPr>
          <w:sz w:val="20"/>
        </w:rPr>
        <w:t>wt</w:t>
      </w:r>
      <w:proofErr w:type="spellEnd"/>
      <w:r w:rsidRPr="00D80DAB">
        <w:rPr>
          <w:sz w:val="20"/>
        </w:rPr>
        <w:t xml:space="preserve">% as calculated under Protocol 1 plotted against sum of elements which substitute into the apatite Ca- site. Substitute ions used are Na, </w:t>
      </w:r>
      <w:proofErr w:type="spellStart"/>
      <w:r w:rsidRPr="00D80DAB">
        <w:rPr>
          <w:sz w:val="20"/>
        </w:rPr>
        <w:t>Mn</w:t>
      </w:r>
      <w:proofErr w:type="spellEnd"/>
      <w:r w:rsidRPr="00D80DAB">
        <w:rPr>
          <w:sz w:val="20"/>
        </w:rPr>
        <w:t xml:space="preserve">, </w:t>
      </w:r>
      <w:proofErr w:type="spellStart"/>
      <w:r w:rsidRPr="00D80DAB">
        <w:rPr>
          <w:sz w:val="20"/>
        </w:rPr>
        <w:t>Sr</w:t>
      </w:r>
      <w:proofErr w:type="spellEnd"/>
      <w:r w:rsidRPr="00D80DAB">
        <w:rPr>
          <w:sz w:val="20"/>
        </w:rPr>
        <w:t xml:space="preserve">, Y, </w:t>
      </w:r>
      <w:proofErr w:type="spellStart"/>
      <w:r w:rsidRPr="00D80DAB">
        <w:rPr>
          <w:sz w:val="20"/>
        </w:rPr>
        <w:t>Pb</w:t>
      </w:r>
      <w:proofErr w:type="spellEnd"/>
      <w:r w:rsidRPr="00D80DAB">
        <w:rPr>
          <w:sz w:val="20"/>
        </w:rPr>
        <w:t xml:space="preserve">, La, Ce, </w:t>
      </w:r>
      <w:proofErr w:type="spellStart"/>
      <w:r w:rsidRPr="00D80DAB">
        <w:rPr>
          <w:sz w:val="20"/>
        </w:rPr>
        <w:t>Pr</w:t>
      </w:r>
      <w:proofErr w:type="spellEnd"/>
      <w:r w:rsidRPr="00D80DAB">
        <w:rPr>
          <w:sz w:val="20"/>
        </w:rPr>
        <w:t xml:space="preserve">, </w:t>
      </w:r>
      <w:proofErr w:type="spellStart"/>
      <w:r w:rsidRPr="00D80DAB">
        <w:rPr>
          <w:sz w:val="20"/>
        </w:rPr>
        <w:t>Nd</w:t>
      </w:r>
      <w:proofErr w:type="spellEnd"/>
      <w:r w:rsidRPr="00D80DAB">
        <w:rPr>
          <w:sz w:val="20"/>
        </w:rPr>
        <w:t xml:space="preserve">, Sm, </w:t>
      </w:r>
      <w:proofErr w:type="spellStart"/>
      <w:r w:rsidRPr="00D80DAB">
        <w:rPr>
          <w:sz w:val="20"/>
        </w:rPr>
        <w:t>Eu</w:t>
      </w:r>
      <w:proofErr w:type="spellEnd"/>
      <w:r w:rsidRPr="00D80DAB">
        <w:rPr>
          <w:sz w:val="20"/>
        </w:rPr>
        <w:t xml:space="preserve">, </w:t>
      </w:r>
      <w:proofErr w:type="spellStart"/>
      <w:r w:rsidRPr="00D80DAB">
        <w:rPr>
          <w:sz w:val="20"/>
        </w:rPr>
        <w:t>Gd</w:t>
      </w:r>
      <w:proofErr w:type="spellEnd"/>
      <w:r w:rsidRPr="00D80DAB">
        <w:rPr>
          <w:sz w:val="20"/>
        </w:rPr>
        <w:t xml:space="preserve">, Tb, </w:t>
      </w:r>
      <w:proofErr w:type="spellStart"/>
      <w:r w:rsidRPr="00D80DAB">
        <w:rPr>
          <w:sz w:val="20"/>
        </w:rPr>
        <w:t>Dy</w:t>
      </w:r>
      <w:proofErr w:type="spellEnd"/>
      <w:r w:rsidRPr="00D80DAB">
        <w:rPr>
          <w:sz w:val="20"/>
        </w:rPr>
        <w:t xml:space="preserve">, </w:t>
      </w:r>
      <w:proofErr w:type="spellStart"/>
      <w:r w:rsidRPr="00D80DAB">
        <w:rPr>
          <w:sz w:val="20"/>
        </w:rPr>
        <w:t>Ho</w:t>
      </w:r>
      <w:proofErr w:type="spellEnd"/>
      <w:r w:rsidRPr="00D80DAB">
        <w:rPr>
          <w:sz w:val="20"/>
        </w:rPr>
        <w:t xml:space="preserve">, </w:t>
      </w:r>
      <w:proofErr w:type="spellStart"/>
      <w:r w:rsidRPr="00D80DAB">
        <w:rPr>
          <w:sz w:val="20"/>
        </w:rPr>
        <w:t>Er</w:t>
      </w:r>
      <w:proofErr w:type="spellEnd"/>
      <w:r w:rsidRPr="00D80DAB">
        <w:rPr>
          <w:sz w:val="20"/>
        </w:rPr>
        <w:t xml:space="preserve">, Tm, </w:t>
      </w:r>
      <w:proofErr w:type="spellStart"/>
      <w:r w:rsidRPr="00D80DAB">
        <w:rPr>
          <w:sz w:val="20"/>
        </w:rPr>
        <w:t>Yb</w:t>
      </w:r>
      <w:proofErr w:type="spellEnd"/>
      <w:r w:rsidRPr="00D80DAB">
        <w:rPr>
          <w:sz w:val="20"/>
        </w:rPr>
        <w:t xml:space="preserve"> and Lu (Hughes &amp; </w:t>
      </w:r>
      <w:proofErr w:type="spellStart"/>
      <w:r w:rsidRPr="00D80DAB">
        <w:rPr>
          <w:sz w:val="20"/>
        </w:rPr>
        <w:t>Rakovan</w:t>
      </w:r>
      <w:proofErr w:type="spellEnd"/>
      <w:r w:rsidRPr="00D80DAB">
        <w:rPr>
          <w:sz w:val="20"/>
        </w:rPr>
        <w:t xml:space="preserve">, 2002). A reference line of </w:t>
      </w:r>
      <w:r w:rsidRPr="00D80DAB">
        <w:rPr>
          <w:i/>
          <w:sz w:val="20"/>
        </w:rPr>
        <w:t>y</w:t>
      </w:r>
      <w:r w:rsidRPr="00D80DAB">
        <w:rPr>
          <w:sz w:val="20"/>
        </w:rPr>
        <w:t xml:space="preserve"> = -</w:t>
      </w:r>
      <w:r w:rsidRPr="00D80DAB">
        <w:rPr>
          <w:i/>
          <w:sz w:val="20"/>
        </w:rPr>
        <w:t>x</w:t>
      </w:r>
      <w:r w:rsidRPr="00D80DAB">
        <w:rPr>
          <w:sz w:val="20"/>
        </w:rPr>
        <w:t xml:space="preserve"> + 39.74 </w:t>
      </w:r>
      <w:proofErr w:type="spellStart"/>
      <w:r w:rsidRPr="00D80DAB">
        <w:rPr>
          <w:sz w:val="20"/>
        </w:rPr>
        <w:t>wt</w:t>
      </w:r>
      <w:proofErr w:type="spellEnd"/>
      <w:r w:rsidRPr="00D80DAB">
        <w:rPr>
          <w:sz w:val="20"/>
        </w:rPr>
        <w:t>% has been included, such that with no Ca-site substitutes present Ca is stoichiometric, and an increase in Ca-site substitute</w:t>
      </w:r>
      <w:r w:rsidR="003C15DC">
        <w:rPr>
          <w:sz w:val="20"/>
        </w:rPr>
        <w:t xml:space="preserve"> ions</w:t>
      </w:r>
      <w:r w:rsidRPr="00D80DAB">
        <w:rPr>
          <w:sz w:val="20"/>
        </w:rPr>
        <w:t xml:space="preserve"> is accompanied by an equivalent decrease in Ca. Additional reference lines at </w:t>
      </w:r>
      <w:r w:rsidRPr="00D80DAB">
        <w:rPr>
          <w:rFonts w:cstheme="minorHAnsi"/>
          <w:sz w:val="20"/>
        </w:rPr>
        <w:t>±</w:t>
      </w:r>
      <w:r w:rsidR="001979BF">
        <w:rPr>
          <w:rFonts w:cstheme="minorHAnsi"/>
          <w:sz w:val="20"/>
        </w:rPr>
        <w:t xml:space="preserve"> </w:t>
      </w:r>
      <w:r w:rsidRPr="00D80DAB">
        <w:rPr>
          <w:sz w:val="20"/>
        </w:rPr>
        <w:t xml:space="preserve">1 </w:t>
      </w:r>
      <w:proofErr w:type="spellStart"/>
      <w:r w:rsidRPr="00D80DAB">
        <w:rPr>
          <w:sz w:val="20"/>
        </w:rPr>
        <w:t>wt</w:t>
      </w:r>
      <w:proofErr w:type="spellEnd"/>
      <w:r w:rsidRPr="00D80DAB">
        <w:rPr>
          <w:sz w:val="20"/>
        </w:rPr>
        <w:t>% have also been included. (</w:t>
      </w:r>
      <w:r w:rsidRPr="00D80DAB">
        <w:rPr>
          <w:b/>
          <w:sz w:val="20"/>
        </w:rPr>
        <w:t>c</w:t>
      </w:r>
      <w:r w:rsidRPr="00D80DAB">
        <w:rPr>
          <w:sz w:val="20"/>
        </w:rPr>
        <w:t>) Inter-protocol comparison of calculated phosphorous content. (</w:t>
      </w:r>
      <w:r w:rsidRPr="00D80DAB">
        <w:rPr>
          <w:b/>
          <w:sz w:val="20"/>
        </w:rPr>
        <w:t>d</w:t>
      </w:r>
      <w:r w:rsidRPr="00D80DAB">
        <w:rPr>
          <w:sz w:val="20"/>
        </w:rPr>
        <w:t>) Inter-protocol comparison of calculated fluorine content. (</w:t>
      </w:r>
      <w:r w:rsidRPr="00D80DAB">
        <w:rPr>
          <w:b/>
          <w:sz w:val="20"/>
        </w:rPr>
        <w:t>e</w:t>
      </w:r>
      <w:r w:rsidRPr="00D80DAB">
        <w:rPr>
          <w:sz w:val="20"/>
        </w:rPr>
        <w:t>) Inter-protocol comparison of calculated chlorine content. (</w:t>
      </w:r>
      <w:r w:rsidRPr="00D80DAB">
        <w:rPr>
          <w:b/>
          <w:sz w:val="20"/>
        </w:rPr>
        <w:t>f</w:t>
      </w:r>
      <w:r w:rsidRPr="00D80DAB">
        <w:rPr>
          <w:sz w:val="20"/>
        </w:rPr>
        <w:t>) Inter-protocol comparison of calculated r</w:t>
      </w:r>
      <w:r w:rsidRPr="00D80DAB">
        <w:rPr>
          <w:sz w:val="20"/>
          <w:vertAlign w:val="subscript"/>
        </w:rPr>
        <w:t>mr0</w:t>
      </w:r>
      <w:r w:rsidRPr="00D80DAB">
        <w:rPr>
          <w:sz w:val="20"/>
        </w:rPr>
        <w:t xml:space="preserve"> values, where under Protocol 1 r</w:t>
      </w:r>
      <w:r w:rsidRPr="00D80DAB">
        <w:rPr>
          <w:sz w:val="20"/>
          <w:vertAlign w:val="subscript"/>
        </w:rPr>
        <w:t>mr0</w:t>
      </w:r>
      <w:r w:rsidRPr="00D80DAB">
        <w:rPr>
          <w:sz w:val="20"/>
        </w:rPr>
        <w:t xml:space="preserve"> has been calculated exclusively using EPMA data and under Protocol 2 r</w:t>
      </w:r>
      <w:r w:rsidRPr="00D80DAB">
        <w:rPr>
          <w:sz w:val="20"/>
          <w:vertAlign w:val="subscript"/>
        </w:rPr>
        <w:t>mr0</w:t>
      </w:r>
      <w:r w:rsidRPr="00D80DAB">
        <w:rPr>
          <w:sz w:val="20"/>
        </w:rPr>
        <w:t xml:space="preserve"> has been calculated using a combination of same </w:t>
      </w:r>
      <w:r w:rsidR="003C7EAF">
        <w:rPr>
          <w:sz w:val="20"/>
        </w:rPr>
        <w:t>grain EPMA and LA</w:t>
      </w:r>
      <w:r w:rsidR="003C7EAF" w:rsidRPr="003C7EAF">
        <w:rPr>
          <w:sz w:val="20"/>
        </w:rPr>
        <w:t>–</w:t>
      </w:r>
      <w:r w:rsidR="003C7EAF">
        <w:rPr>
          <w:sz w:val="20"/>
        </w:rPr>
        <w:t>ICP</w:t>
      </w:r>
      <w:r w:rsidR="003C7EAF" w:rsidRPr="003C7EAF">
        <w:rPr>
          <w:sz w:val="20"/>
        </w:rPr>
        <w:t>–</w:t>
      </w:r>
      <w:r w:rsidR="00DD0C9A">
        <w:rPr>
          <w:sz w:val="20"/>
        </w:rPr>
        <w:t xml:space="preserve">MS data. </w:t>
      </w:r>
    </w:p>
    <w:p w:rsidR="00E15D4A" w:rsidRPr="00992F9C" w:rsidRDefault="00E15D4A" w:rsidP="001E6018">
      <w:pPr>
        <w:spacing w:line="480" w:lineRule="auto"/>
        <w:jc w:val="both"/>
        <w:rPr>
          <w:i/>
        </w:rPr>
      </w:pPr>
      <w:r w:rsidRPr="00992F9C">
        <w:rPr>
          <w:i/>
        </w:rPr>
        <w:t>EPMA Methodology Comparison</w:t>
      </w:r>
    </w:p>
    <w:p w:rsidR="00D80DAB" w:rsidRDefault="00E15D4A" w:rsidP="001E6018">
      <w:pPr>
        <w:spacing w:line="480" w:lineRule="auto"/>
        <w:jc w:val="both"/>
      </w:pPr>
      <w:r w:rsidRPr="00E87BEA">
        <w:t xml:space="preserve">To test the reliability of the reduced analytical procedure of Protocol 2, data collected under Protocol 1 in analytical Session EPMA-a were calculated using all elements determined (Ca, P, Cl, F, S, Si, Na, </w:t>
      </w:r>
      <w:proofErr w:type="spellStart"/>
      <w:r w:rsidRPr="00E87BEA">
        <w:t>Sr</w:t>
      </w:r>
      <w:proofErr w:type="spellEnd"/>
      <w:r w:rsidRPr="00E87BEA">
        <w:t xml:space="preserve">, </w:t>
      </w:r>
      <w:proofErr w:type="spellStart"/>
      <w:r w:rsidRPr="00E87BEA">
        <w:t>Mn</w:t>
      </w:r>
      <w:proofErr w:type="spellEnd"/>
      <w:r w:rsidRPr="00E87BEA">
        <w:t xml:space="preserve">, Fe, Al, Mg, Y, La, </w:t>
      </w:r>
      <w:proofErr w:type="spellStart"/>
      <w:r w:rsidRPr="00E87BEA">
        <w:t>Ti</w:t>
      </w:r>
      <w:proofErr w:type="spellEnd"/>
      <w:r w:rsidRPr="00E87BEA">
        <w:t xml:space="preserve">, Ce and </w:t>
      </w:r>
      <w:proofErr w:type="spellStart"/>
      <w:r w:rsidRPr="00E87BEA">
        <w:t>Nd</w:t>
      </w:r>
      <w:proofErr w:type="spellEnd"/>
      <w:r w:rsidRPr="00E87BEA">
        <w:t xml:space="preserve">) using Probe for EPMA software (distributed by Probe Software Inc.), and only those </w:t>
      </w:r>
      <w:r w:rsidR="003C15DC">
        <w:t xml:space="preserve">which would be </w:t>
      </w:r>
      <w:r w:rsidRPr="00E87BEA">
        <w:t>determined under protocol 2 (Ca, P, Cl, F, S, Si, Na and Fe). Determination of Ca, P, F and Cl by both methods are given in Fig</w:t>
      </w:r>
      <w:r w:rsidR="001979BF">
        <w:t>s</w:t>
      </w:r>
      <w:r w:rsidRPr="00E87BEA">
        <w:t>. S4</w:t>
      </w:r>
      <w:r w:rsidR="002F6DEA">
        <w:t>a; c–e</w:t>
      </w:r>
      <w:r w:rsidRPr="00E87BEA">
        <w:t>, which show excellent consistency between the two methods. Similarly, calculated r</w:t>
      </w:r>
      <w:r w:rsidRPr="00E87BEA">
        <w:rPr>
          <w:vertAlign w:val="subscript"/>
        </w:rPr>
        <w:t>mr0</w:t>
      </w:r>
      <w:r w:rsidRPr="00E87BEA">
        <w:t xml:space="preserve"> values calculated using Protocol 1 and data f</w:t>
      </w:r>
      <w:r w:rsidR="002F6DEA">
        <w:t>rom Protocol 2 combined with LA–</w:t>
      </w:r>
      <w:r w:rsidRPr="00E87BEA">
        <w:t>ICP</w:t>
      </w:r>
      <w:r w:rsidR="002F6DEA">
        <w:t>–</w:t>
      </w:r>
      <w:r w:rsidRPr="00E87BEA">
        <w:t xml:space="preserve">MS show good agreement between methods (Fig. S4f). </w:t>
      </w:r>
    </w:p>
    <w:p w:rsidR="00E15D4A" w:rsidRDefault="00E15D4A" w:rsidP="001E6018">
      <w:pPr>
        <w:spacing w:line="480" w:lineRule="auto"/>
        <w:jc w:val="both"/>
      </w:pPr>
      <w:r w:rsidRPr="00E87BEA">
        <w:t xml:space="preserve">The most significant deviation in calculated elemental abundance between protocols is evident in the calculation of Ca, which is slightly overestimated by Protocol 2 with respect to Protocol 1 (Fig. S4a). Ca also demonstrates a significant positive correlation between Ca </w:t>
      </w:r>
      <w:proofErr w:type="spellStart"/>
      <w:r w:rsidRPr="00E87BEA">
        <w:t>wt</w:t>
      </w:r>
      <w:proofErr w:type="spellEnd"/>
      <w:r w:rsidRPr="00E87BEA">
        <w:t xml:space="preserve">% and total </w:t>
      </w:r>
      <w:proofErr w:type="spellStart"/>
      <w:r w:rsidRPr="00E87BEA">
        <w:t>wt</w:t>
      </w:r>
      <w:proofErr w:type="spellEnd"/>
      <w:r w:rsidRPr="00E87BEA">
        <w:t xml:space="preserve">% calculated in Protocol 2, where greater decoupling of calculated Ca is observed at lower measured abundance. Correlation between Ca </w:t>
      </w:r>
      <w:proofErr w:type="spellStart"/>
      <w:r w:rsidRPr="00E87BEA">
        <w:t>wt</w:t>
      </w:r>
      <w:proofErr w:type="spellEnd"/>
      <w:r w:rsidRPr="00E87BEA">
        <w:t xml:space="preserve">% and total calculated </w:t>
      </w:r>
      <w:proofErr w:type="spellStart"/>
      <w:r w:rsidRPr="00E87BEA">
        <w:t>wt</w:t>
      </w:r>
      <w:proofErr w:type="spellEnd"/>
      <w:r w:rsidRPr="00E87BEA">
        <w:t>% may be explained by the presence of REEs which occupy th</w:t>
      </w:r>
      <w:r w:rsidR="002F6DEA">
        <w:t>e Ca-site in apatite (Fig</w:t>
      </w:r>
      <w:r w:rsidR="001979BF">
        <w:t>s</w:t>
      </w:r>
      <w:r w:rsidR="002F6DEA">
        <w:t>. S4a–</w:t>
      </w:r>
      <w:r w:rsidR="00A20C74">
        <w:t xml:space="preserve">b; Hughes &amp; </w:t>
      </w:r>
      <w:proofErr w:type="spellStart"/>
      <w:r w:rsidR="00A20C74">
        <w:t>Rakovan</w:t>
      </w:r>
      <w:proofErr w:type="spellEnd"/>
      <w:r w:rsidRPr="00E87BEA">
        <w:t xml:space="preserve"> 2002; </w:t>
      </w:r>
      <w:r w:rsidR="002F6DEA">
        <w:t>Pan</w:t>
      </w:r>
      <w:r w:rsidR="002F6DEA" w:rsidRPr="00E87BEA">
        <w:t xml:space="preserve"> &amp;</w:t>
      </w:r>
      <w:r w:rsidR="00A20C74">
        <w:t xml:space="preserve"> Fleet</w:t>
      </w:r>
      <w:r w:rsidRPr="00E87BEA">
        <w:t xml:space="preserve"> 2002) and thus displace </w:t>
      </w:r>
      <w:r w:rsidRPr="00E87BEA">
        <w:lastRenderedPageBreak/>
        <w:t xml:space="preserve">Ca from the lattice. Non-analysis of REEs and other Ca-site substitutes compromises the ZAF absorption correction which causes Ca to be overcorrected, thus Ca exhibits a tenancy to be overestimated in high REE apatites and becomes more appropriately corrected as Ca approaches stoichiometric abundance. For all analyses, however, Ca </w:t>
      </w:r>
      <w:proofErr w:type="spellStart"/>
      <w:r w:rsidRPr="00E87BEA">
        <w:t>wt</w:t>
      </w:r>
      <w:proofErr w:type="spellEnd"/>
      <w:r w:rsidRPr="00E87BEA">
        <w:t xml:space="preserve">% calculated utilising Protocol 2 are within 2σ error of Protocol 1 values. Given the consistency demonstrated by direct protocol comparison, and observed agreement between analysed and published Durango elemental concentrations obtained under discretely analysed both protocols, Protocol 2 is considered a viable EPMA method for apatite </w:t>
      </w:r>
      <w:r w:rsidR="00DD0C9A">
        <w:rPr>
          <w:noProof/>
          <w:lang w:eastAsia="en-AU"/>
        </w:rPr>
        <w:drawing>
          <wp:anchor distT="0" distB="0" distL="114300" distR="114300" simplePos="0" relativeHeight="251665408" behindDoc="1" locked="0" layoutInCell="1" allowOverlap="1">
            <wp:simplePos x="0" y="0"/>
            <wp:positionH relativeFrom="margin">
              <wp:align>center</wp:align>
            </wp:positionH>
            <wp:positionV relativeFrom="paragraph">
              <wp:posOffset>2685415</wp:posOffset>
            </wp:positionV>
            <wp:extent cx="6817360" cy="2886075"/>
            <wp:effectExtent l="0" t="0" r="2540" b="9525"/>
            <wp:wrapTight wrapText="bothSides">
              <wp:wrapPolygon edited="0">
                <wp:start x="0" y="0"/>
                <wp:lineTo x="0" y="21529"/>
                <wp:lineTo x="21548" y="21529"/>
                <wp:lineTo x="215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urangoAFT_WM_fi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17360" cy="2886075"/>
                    </a:xfrm>
                    <a:prstGeom prst="rect">
                      <a:avLst/>
                    </a:prstGeom>
                  </pic:spPr>
                </pic:pic>
              </a:graphicData>
            </a:graphic>
            <wp14:sizeRelH relativeFrom="margin">
              <wp14:pctWidth>0</wp14:pctWidth>
            </wp14:sizeRelH>
            <wp14:sizeRelV relativeFrom="margin">
              <wp14:pctHeight>0</wp14:pctHeight>
            </wp14:sizeRelV>
          </wp:anchor>
        </w:drawing>
      </w:r>
      <w:r w:rsidRPr="00E87BEA">
        <w:t>thermochronology purposes.</w:t>
      </w:r>
    </w:p>
    <w:p w:rsidR="00DD0C9A" w:rsidRPr="00DD0C9A" w:rsidRDefault="00DD0C9A" w:rsidP="001E6018">
      <w:pPr>
        <w:spacing w:line="480" w:lineRule="auto"/>
        <w:jc w:val="both"/>
        <w:rPr>
          <w:sz w:val="20"/>
        </w:rPr>
      </w:pPr>
      <w:r w:rsidRPr="00DD0C9A">
        <w:rPr>
          <w:b/>
          <w:sz w:val="20"/>
        </w:rPr>
        <w:t>Fig. S5</w:t>
      </w:r>
      <w:r w:rsidR="00A95F33">
        <w:rPr>
          <w:b/>
          <w:sz w:val="20"/>
        </w:rPr>
        <w:t>.</w:t>
      </w:r>
      <w:r w:rsidRPr="00DD0C9A">
        <w:rPr>
          <w:sz w:val="20"/>
        </w:rPr>
        <w:t xml:space="preserve"> Durango apatite AFT ages for standards interspaced in LA</w:t>
      </w:r>
      <w:r w:rsidR="003C7EAF" w:rsidRPr="003C7EAF">
        <w:rPr>
          <w:sz w:val="20"/>
        </w:rPr>
        <w:t>–</w:t>
      </w:r>
      <w:r w:rsidRPr="00DD0C9A">
        <w:rPr>
          <w:sz w:val="20"/>
        </w:rPr>
        <w:t>ICP</w:t>
      </w:r>
      <w:r w:rsidR="003C7EAF" w:rsidRPr="003C7EAF">
        <w:rPr>
          <w:sz w:val="20"/>
        </w:rPr>
        <w:t>–</w:t>
      </w:r>
      <w:r w:rsidRPr="00DD0C9A">
        <w:rPr>
          <w:sz w:val="20"/>
        </w:rPr>
        <w:t>MS analytical sessions used for accuracy validation and session-speci</w:t>
      </w:r>
      <w:r w:rsidR="00A20C74">
        <w:rPr>
          <w:sz w:val="20"/>
        </w:rPr>
        <w:t>fic zeta calculation (Vermeesch</w:t>
      </w:r>
      <w:r w:rsidRPr="00DD0C9A">
        <w:rPr>
          <w:sz w:val="20"/>
        </w:rPr>
        <w:t xml:space="preserve"> 2017). Individual spot error bars and weighted mean uncertainty reflect 2</w:t>
      </w:r>
      <w:r w:rsidRPr="00DD0C9A">
        <w:rPr>
          <w:rFonts w:cstheme="minorHAnsi"/>
          <w:sz w:val="20"/>
        </w:rPr>
        <w:t>σ</w:t>
      </w:r>
      <w:r w:rsidRPr="00DD0C9A">
        <w:rPr>
          <w:sz w:val="20"/>
        </w:rPr>
        <w:t xml:space="preserve"> errors. Two published ages of Durango apatite constrain standard age at 31.44</w:t>
      </w:r>
      <w:r w:rsidR="001979BF">
        <w:rPr>
          <w:sz w:val="20"/>
        </w:rPr>
        <w:t xml:space="preserve"> </w:t>
      </w:r>
      <w:r w:rsidRPr="00DD0C9A">
        <w:rPr>
          <w:sz w:val="20"/>
        </w:rPr>
        <w:t>±</w:t>
      </w:r>
      <w:r w:rsidR="001979BF">
        <w:rPr>
          <w:sz w:val="20"/>
        </w:rPr>
        <w:t xml:space="preserve"> </w:t>
      </w:r>
      <w:r w:rsidR="00A20C74">
        <w:rPr>
          <w:sz w:val="20"/>
        </w:rPr>
        <w:t>0.18 Ma (McDowell</w:t>
      </w:r>
      <w:r w:rsidRPr="00DD0C9A">
        <w:rPr>
          <w:sz w:val="20"/>
        </w:rPr>
        <w:t xml:space="preserve"> </w:t>
      </w:r>
      <w:r w:rsidR="0095276D" w:rsidRPr="0095276D">
        <w:rPr>
          <w:i/>
          <w:sz w:val="20"/>
        </w:rPr>
        <w:t>et al</w:t>
      </w:r>
      <w:r w:rsidRPr="00DD0C9A">
        <w:rPr>
          <w:sz w:val="20"/>
        </w:rPr>
        <w:t>., 2005) and 32.20</w:t>
      </w:r>
      <w:r w:rsidR="001979BF">
        <w:rPr>
          <w:sz w:val="20"/>
        </w:rPr>
        <w:t xml:space="preserve"> </w:t>
      </w:r>
      <w:r w:rsidRPr="00DD0C9A">
        <w:rPr>
          <w:sz w:val="20"/>
        </w:rPr>
        <w:t>±</w:t>
      </w:r>
      <w:r w:rsidR="001979BF">
        <w:rPr>
          <w:sz w:val="20"/>
        </w:rPr>
        <w:t xml:space="preserve"> </w:t>
      </w:r>
      <w:r w:rsidRPr="00DD0C9A">
        <w:rPr>
          <w:sz w:val="20"/>
        </w:rPr>
        <w:t xml:space="preserve">0.51 Ma (Chew </w:t>
      </w:r>
      <w:r w:rsidRPr="0095276D">
        <w:rPr>
          <w:i/>
          <w:sz w:val="20"/>
        </w:rPr>
        <w:t>et al</w:t>
      </w:r>
      <w:r w:rsidR="00A20C74">
        <w:rPr>
          <w:sz w:val="20"/>
        </w:rPr>
        <w:t>.</w:t>
      </w:r>
      <w:r w:rsidRPr="00DD0C9A">
        <w:rPr>
          <w:sz w:val="20"/>
        </w:rPr>
        <w:t xml:space="preserve"> 2014).</w:t>
      </w:r>
      <w:bookmarkStart w:id="0" w:name="_GoBack"/>
      <w:bookmarkEnd w:id="0"/>
    </w:p>
    <w:p w:rsidR="00E15D4A" w:rsidRPr="00992F9C" w:rsidRDefault="00992F9C" w:rsidP="001E6018">
      <w:pPr>
        <w:spacing w:line="480" w:lineRule="auto"/>
        <w:jc w:val="both"/>
        <w:rPr>
          <w:i/>
        </w:rPr>
      </w:pPr>
      <w:r>
        <w:rPr>
          <w:i/>
        </w:rPr>
        <w:t>AFT Secondary Standards</w:t>
      </w:r>
    </w:p>
    <w:p w:rsidR="00DD0C9A" w:rsidRPr="00E87BEA" w:rsidRDefault="00CB3D35" w:rsidP="001E6018">
      <w:pPr>
        <w:spacing w:line="480" w:lineRule="auto"/>
        <w:jc w:val="both"/>
      </w:pPr>
      <w:r>
        <w:t>Durango apatite etched with 5.0 M HNO</w:t>
      </w:r>
      <w:r>
        <w:rPr>
          <w:vertAlign w:val="subscript"/>
        </w:rPr>
        <w:t>3</w:t>
      </w:r>
      <w:r>
        <w:t xml:space="preserve"> was analysed alongside Pine Creek Orogen and Arnhem Province samples in respective LA</w:t>
      </w:r>
      <w:r w:rsidR="003C7EAF" w:rsidRPr="003C7EAF">
        <w:t>–</w:t>
      </w:r>
      <w:r w:rsidR="003C7EAF">
        <w:t>ICP</w:t>
      </w:r>
      <w:r w:rsidR="003C7EAF" w:rsidRPr="003C7EAF">
        <w:t>–</w:t>
      </w:r>
      <w:r>
        <w:t xml:space="preserve">MS analytical sessions, both to evaluate data accuracy and to calculate a session-specific zeta factor to which unknown samples were normalised </w:t>
      </w:r>
      <w:r w:rsidRPr="00755D5D">
        <w:t>Vermeesch (2017</w:t>
      </w:r>
      <w:r>
        <w:t>)</w:t>
      </w:r>
      <w:r w:rsidR="00D5271F">
        <w:t xml:space="preserve">. </w:t>
      </w:r>
      <w:r w:rsidRPr="00755D5D">
        <w:t>Durango apatite</w:t>
      </w:r>
      <w:r w:rsidR="00D5271F">
        <w:t xml:space="preserve"> AFT ages are pres</w:t>
      </w:r>
      <w:r w:rsidR="00803039">
        <w:t>ented in Fig. S5, and yield</w:t>
      </w:r>
      <w:r w:rsidR="00466334">
        <w:t xml:space="preserve"> weighted mean AFT ages of 32.4</w:t>
      </w:r>
      <w:r w:rsidR="001979BF">
        <w:t xml:space="preserve"> </w:t>
      </w:r>
      <w:r w:rsidRPr="00755D5D">
        <w:rPr>
          <w:rFonts w:cstheme="minorHAnsi"/>
        </w:rPr>
        <w:t>±</w:t>
      </w:r>
      <w:r w:rsidR="001979BF">
        <w:rPr>
          <w:rFonts w:cstheme="minorHAnsi"/>
        </w:rPr>
        <w:t xml:space="preserve"> </w:t>
      </w:r>
      <w:r w:rsidR="00466334">
        <w:t>2.3</w:t>
      </w:r>
      <w:r w:rsidRPr="00755D5D">
        <w:t xml:space="preserve"> Ma </w:t>
      </w:r>
      <w:r w:rsidRPr="00755D5D">
        <w:lastRenderedPageBreak/>
        <w:t xml:space="preserve">(Session </w:t>
      </w:r>
      <w:r>
        <w:t>LA-a</w:t>
      </w:r>
      <w:r w:rsidR="00466334">
        <w:t>) and 32.5</w:t>
      </w:r>
      <w:r w:rsidR="001979BF">
        <w:t xml:space="preserve"> </w:t>
      </w:r>
      <w:r w:rsidRPr="00755D5D">
        <w:rPr>
          <w:rFonts w:cstheme="minorHAnsi"/>
        </w:rPr>
        <w:t>±</w:t>
      </w:r>
      <w:r w:rsidR="001979BF">
        <w:rPr>
          <w:rFonts w:cstheme="minorHAnsi"/>
        </w:rPr>
        <w:t xml:space="preserve"> </w:t>
      </w:r>
      <w:r w:rsidR="00466334">
        <w:t>3.7</w:t>
      </w:r>
      <w:r>
        <w:t xml:space="preserve"> Ma (Session LA-b</w:t>
      </w:r>
      <w:r w:rsidR="00062AB7">
        <w:t>)</w:t>
      </w:r>
      <w:r w:rsidRPr="00755D5D">
        <w:t xml:space="preserve">, which are within error of the published </w:t>
      </w:r>
      <w:r w:rsidRPr="00755D5D">
        <w:rPr>
          <w:vertAlign w:val="superscript"/>
        </w:rPr>
        <w:t>40</w:t>
      </w:r>
      <w:r w:rsidRPr="00755D5D">
        <w:t>Ar/</w:t>
      </w:r>
      <w:r w:rsidRPr="00755D5D">
        <w:rPr>
          <w:vertAlign w:val="superscript"/>
        </w:rPr>
        <w:t>39</w:t>
      </w:r>
      <w:r w:rsidRPr="00755D5D">
        <w:t>Ar age (31.44</w:t>
      </w:r>
      <w:r w:rsidR="001979BF">
        <w:t xml:space="preserve"> </w:t>
      </w:r>
      <w:r w:rsidRPr="00755D5D">
        <w:rPr>
          <w:rFonts w:cstheme="minorHAnsi"/>
        </w:rPr>
        <w:t>±</w:t>
      </w:r>
      <w:r w:rsidR="001979BF">
        <w:rPr>
          <w:rFonts w:cstheme="minorHAnsi"/>
        </w:rPr>
        <w:t xml:space="preserve"> </w:t>
      </w:r>
      <w:r w:rsidRPr="00755D5D">
        <w:rPr>
          <w:rFonts w:cstheme="minorHAnsi"/>
        </w:rPr>
        <w:t>0.</w:t>
      </w:r>
      <w:r w:rsidR="00D5271F">
        <w:t xml:space="preserve">18 Ma; McDowell </w:t>
      </w:r>
      <w:r w:rsidR="00D5271F" w:rsidRPr="0095276D">
        <w:rPr>
          <w:i/>
        </w:rPr>
        <w:t>et al</w:t>
      </w:r>
      <w:r w:rsidR="00A20C74">
        <w:t>.</w:t>
      </w:r>
      <w:r w:rsidR="00D5271F">
        <w:t xml:space="preserve"> 2005). Agreement between published and calculated AFT ages for Durango apatite is supportive of reliable AFT data of Pine Creek Orogen and Arnhem Province samples presented in this study. </w:t>
      </w:r>
    </w:p>
    <w:p w:rsidR="00E15D4A" w:rsidRPr="00E87BEA" w:rsidRDefault="00E15D4A" w:rsidP="001E6018">
      <w:pPr>
        <w:spacing w:line="480" w:lineRule="auto"/>
        <w:jc w:val="both"/>
        <w:rPr>
          <w:b/>
          <w:i/>
        </w:rPr>
      </w:pPr>
      <w:r w:rsidRPr="00E87BEA">
        <w:rPr>
          <w:b/>
          <w:i/>
        </w:rPr>
        <w:t>Apatite Thermal History Modelling</w:t>
      </w:r>
    </w:p>
    <w:p w:rsidR="00DD0C9A" w:rsidRPr="004A0B6A" w:rsidRDefault="00DD0C9A" w:rsidP="00DD0C9A">
      <w:pPr>
        <w:spacing w:line="480" w:lineRule="auto"/>
        <w:jc w:val="both"/>
        <w:rPr>
          <w:i/>
        </w:rPr>
      </w:pPr>
      <w:r>
        <w:rPr>
          <w:b/>
        </w:rPr>
        <w:t>Table S3</w:t>
      </w:r>
      <w:r w:rsidR="00A95F33">
        <w:rPr>
          <w:b/>
        </w:rPr>
        <w:t>.</w:t>
      </w:r>
      <w:r>
        <w:rPr>
          <w:b/>
        </w:rPr>
        <w:t xml:space="preserve"> </w:t>
      </w:r>
      <w:r w:rsidRPr="0000738F">
        <w:rPr>
          <w:i/>
        </w:rPr>
        <w:t xml:space="preserve">Thermal history model input table for thermochronology simulations of Pine Creek Orogen and Arnhem Province samples, based on framework established by Flowers, Farley, </w:t>
      </w:r>
      <w:r w:rsidR="0095276D">
        <w:rPr>
          <w:i/>
        </w:rPr>
        <w:t>and</w:t>
      </w:r>
      <w:r w:rsidRPr="0000738F">
        <w:rPr>
          <w:i/>
        </w:rPr>
        <w:t xml:space="preserve"> </w:t>
      </w:r>
      <w:proofErr w:type="spellStart"/>
      <w:r w:rsidRPr="0000738F">
        <w:rPr>
          <w:i/>
        </w:rPr>
        <w:t>Ketcham</w:t>
      </w:r>
      <w:proofErr w:type="spellEnd"/>
      <w:r w:rsidRPr="0000738F">
        <w:rPr>
          <w:i/>
        </w:rPr>
        <w:t xml:space="preserve"> (2015)</w:t>
      </w:r>
    </w:p>
    <w:tbl>
      <w:tblPr>
        <w:tblStyle w:val="TableGrid"/>
        <w:tblW w:w="0" w:type="auto"/>
        <w:tblLook w:val="04A0" w:firstRow="1" w:lastRow="0" w:firstColumn="1" w:lastColumn="0" w:noHBand="0" w:noVBand="1"/>
      </w:tblPr>
      <w:tblGrid>
        <w:gridCol w:w="2862"/>
        <w:gridCol w:w="1197"/>
        <w:gridCol w:w="472"/>
        <w:gridCol w:w="1560"/>
        <w:gridCol w:w="1551"/>
        <w:gridCol w:w="1374"/>
      </w:tblGrid>
      <w:tr w:rsidR="004A0B6A" w:rsidTr="00B26540">
        <w:tc>
          <w:tcPr>
            <w:tcW w:w="9016" w:type="dxa"/>
            <w:gridSpan w:val="6"/>
          </w:tcPr>
          <w:p w:rsidR="004A0B6A" w:rsidRDefault="004A0B6A" w:rsidP="00B26540">
            <w:pPr>
              <w:rPr>
                <w:b/>
              </w:rPr>
            </w:pPr>
            <w:r w:rsidRPr="00115B4D">
              <w:rPr>
                <w:b/>
              </w:rPr>
              <w:t xml:space="preserve">1. </w:t>
            </w:r>
            <w:proofErr w:type="spellStart"/>
            <w:r w:rsidRPr="00115B4D">
              <w:rPr>
                <w:b/>
              </w:rPr>
              <w:t>Themochronologic</w:t>
            </w:r>
            <w:r>
              <w:rPr>
                <w:b/>
              </w:rPr>
              <w:t>al</w:t>
            </w:r>
            <w:proofErr w:type="spellEnd"/>
            <w:r w:rsidRPr="00115B4D">
              <w:rPr>
                <w:b/>
              </w:rPr>
              <w:t xml:space="preserve"> data</w:t>
            </w:r>
          </w:p>
          <w:p w:rsidR="004A0B6A" w:rsidRPr="00C57EDB" w:rsidRDefault="004A0B6A" w:rsidP="00B26540">
            <w:pPr>
              <w:rPr>
                <w:b/>
                <w:i/>
              </w:rPr>
            </w:pPr>
            <w:r w:rsidRPr="00C57EDB">
              <w:rPr>
                <w:b/>
                <w:i/>
              </w:rPr>
              <w:t>Samples and data used in simulations</w:t>
            </w:r>
          </w:p>
        </w:tc>
      </w:tr>
      <w:tr w:rsidR="00DD0C9A" w:rsidTr="00B26540">
        <w:tc>
          <w:tcPr>
            <w:tcW w:w="4531" w:type="dxa"/>
            <w:gridSpan w:val="3"/>
          </w:tcPr>
          <w:p w:rsidR="00DD0C9A" w:rsidRDefault="00DD0C9A" w:rsidP="00B26540">
            <w:pPr>
              <w:jc w:val="center"/>
            </w:pPr>
            <w:r>
              <w:t>Simulation inputs</w:t>
            </w:r>
          </w:p>
        </w:tc>
        <w:tc>
          <w:tcPr>
            <w:tcW w:w="1560" w:type="dxa"/>
          </w:tcPr>
          <w:p w:rsidR="00DD0C9A" w:rsidRDefault="00DD0C9A" w:rsidP="00B26540"/>
        </w:tc>
        <w:tc>
          <w:tcPr>
            <w:tcW w:w="1551" w:type="dxa"/>
            <w:vMerge w:val="restart"/>
          </w:tcPr>
          <w:p w:rsidR="00DD0C9A" w:rsidRDefault="00DD0C9A" w:rsidP="00B26540">
            <w:r>
              <w:t>Data Source</w:t>
            </w:r>
          </w:p>
        </w:tc>
        <w:tc>
          <w:tcPr>
            <w:tcW w:w="1374" w:type="dxa"/>
            <w:vMerge w:val="restart"/>
          </w:tcPr>
          <w:p w:rsidR="00DD0C9A" w:rsidRDefault="00DD0C9A" w:rsidP="00B26540">
            <w:r>
              <w:t>All data needed for modelling published?</w:t>
            </w:r>
          </w:p>
        </w:tc>
      </w:tr>
      <w:tr w:rsidR="00DD0C9A" w:rsidTr="00B26540">
        <w:tc>
          <w:tcPr>
            <w:tcW w:w="2862" w:type="dxa"/>
          </w:tcPr>
          <w:p w:rsidR="00DD0C9A" w:rsidRDefault="00DD0C9A" w:rsidP="00B26540">
            <w:r>
              <w:t>Sample</w:t>
            </w:r>
          </w:p>
        </w:tc>
        <w:tc>
          <w:tcPr>
            <w:tcW w:w="1669" w:type="dxa"/>
            <w:gridSpan w:val="2"/>
          </w:tcPr>
          <w:p w:rsidR="00DD0C9A" w:rsidRDefault="00DD0C9A" w:rsidP="00B26540">
            <w:r>
              <w:t>AFT</w:t>
            </w:r>
          </w:p>
        </w:tc>
        <w:tc>
          <w:tcPr>
            <w:tcW w:w="1560" w:type="dxa"/>
          </w:tcPr>
          <w:p w:rsidR="00DD0C9A" w:rsidRDefault="00DD0C9A" w:rsidP="00B26540">
            <w:proofErr w:type="spellStart"/>
            <w:r>
              <w:t>AHe</w:t>
            </w:r>
            <w:proofErr w:type="spellEnd"/>
          </w:p>
        </w:tc>
        <w:tc>
          <w:tcPr>
            <w:tcW w:w="1551" w:type="dxa"/>
            <w:vMerge/>
          </w:tcPr>
          <w:p w:rsidR="00DD0C9A" w:rsidRDefault="00DD0C9A" w:rsidP="00B26540"/>
        </w:tc>
        <w:tc>
          <w:tcPr>
            <w:tcW w:w="1374" w:type="dxa"/>
            <w:vMerge/>
          </w:tcPr>
          <w:p w:rsidR="00DD0C9A" w:rsidRDefault="00DD0C9A" w:rsidP="00B26540"/>
        </w:tc>
      </w:tr>
      <w:tr w:rsidR="00DD0C9A" w:rsidTr="00B26540">
        <w:tc>
          <w:tcPr>
            <w:tcW w:w="2862" w:type="dxa"/>
          </w:tcPr>
          <w:p w:rsidR="00DD0C9A" w:rsidRDefault="00DD0C9A" w:rsidP="00B26540">
            <w:r>
              <w:t>CS-1</w:t>
            </w:r>
          </w:p>
        </w:tc>
        <w:tc>
          <w:tcPr>
            <w:tcW w:w="1669" w:type="dxa"/>
            <w:gridSpan w:val="2"/>
          </w:tcPr>
          <w:p w:rsidR="00DD0C9A" w:rsidRDefault="00DD0C9A" w:rsidP="00B26540">
            <w:pPr>
              <w:jc w:val="center"/>
            </w:pPr>
            <w:r>
              <w:t>x</w:t>
            </w:r>
          </w:p>
        </w:tc>
        <w:tc>
          <w:tcPr>
            <w:tcW w:w="1560" w:type="dxa"/>
          </w:tcPr>
          <w:p w:rsidR="00DD0C9A" w:rsidRDefault="00DD0C9A" w:rsidP="00B26540">
            <w:pPr>
              <w:jc w:val="center"/>
              <w:rPr>
                <w:color w:val="FF0000"/>
              </w:rPr>
            </w:pPr>
            <w:r>
              <w:t>x</w:t>
            </w:r>
          </w:p>
        </w:tc>
        <w:tc>
          <w:tcPr>
            <w:tcW w:w="1551" w:type="dxa"/>
          </w:tcPr>
          <w:p w:rsidR="00DD0C9A" w:rsidRPr="006E5961" w:rsidRDefault="002A4586" w:rsidP="00B26540">
            <w:pPr>
              <w:rPr>
                <w:color w:val="FF0000"/>
              </w:rPr>
            </w:pPr>
            <w:r>
              <w:t>Appendix 3, 4</w:t>
            </w:r>
          </w:p>
        </w:tc>
        <w:tc>
          <w:tcPr>
            <w:tcW w:w="1374" w:type="dxa"/>
          </w:tcPr>
          <w:p w:rsidR="00DD0C9A" w:rsidRDefault="00DD0C9A" w:rsidP="00B26540">
            <w:pPr>
              <w:jc w:val="center"/>
            </w:pPr>
            <w:r>
              <w:t>Yes</w:t>
            </w:r>
          </w:p>
        </w:tc>
      </w:tr>
      <w:tr w:rsidR="00DD0C9A" w:rsidTr="00B26540">
        <w:tc>
          <w:tcPr>
            <w:tcW w:w="2862" w:type="dxa"/>
          </w:tcPr>
          <w:p w:rsidR="00DD0C9A" w:rsidRDefault="00DD0C9A" w:rsidP="00B26540">
            <w:r>
              <w:t>CS-4</w:t>
            </w:r>
          </w:p>
        </w:tc>
        <w:tc>
          <w:tcPr>
            <w:tcW w:w="1669" w:type="dxa"/>
            <w:gridSpan w:val="2"/>
          </w:tcPr>
          <w:p w:rsidR="00DD0C9A" w:rsidRDefault="00DD0C9A" w:rsidP="00B26540">
            <w:pPr>
              <w:jc w:val="center"/>
            </w:pPr>
            <w:r>
              <w:t>x</w:t>
            </w:r>
          </w:p>
        </w:tc>
        <w:tc>
          <w:tcPr>
            <w:tcW w:w="1560" w:type="dxa"/>
          </w:tcPr>
          <w:p w:rsidR="00DD0C9A" w:rsidRPr="009F121C" w:rsidRDefault="00DD0C9A" w:rsidP="00B26540">
            <w:pPr>
              <w:jc w:val="center"/>
            </w:pPr>
            <w:r>
              <w:t>x</w:t>
            </w:r>
          </w:p>
        </w:tc>
        <w:tc>
          <w:tcPr>
            <w:tcW w:w="1551" w:type="dxa"/>
          </w:tcPr>
          <w:p w:rsidR="00DD0C9A" w:rsidRDefault="002A4586" w:rsidP="00B26540">
            <w:r>
              <w:t>Appendix 3, 4</w:t>
            </w:r>
          </w:p>
        </w:tc>
        <w:tc>
          <w:tcPr>
            <w:tcW w:w="1374" w:type="dxa"/>
          </w:tcPr>
          <w:p w:rsidR="00DD0C9A" w:rsidRDefault="00DD0C9A" w:rsidP="00B26540">
            <w:pPr>
              <w:jc w:val="center"/>
            </w:pPr>
            <w:r>
              <w:t>Yes</w:t>
            </w:r>
          </w:p>
        </w:tc>
      </w:tr>
      <w:tr w:rsidR="00DD0C9A" w:rsidTr="00B26540">
        <w:tc>
          <w:tcPr>
            <w:tcW w:w="2862" w:type="dxa"/>
          </w:tcPr>
          <w:p w:rsidR="00DD0C9A" w:rsidRDefault="00DD0C9A" w:rsidP="00B26540">
            <w:r>
              <w:t>CS-5</w:t>
            </w:r>
          </w:p>
        </w:tc>
        <w:tc>
          <w:tcPr>
            <w:tcW w:w="1669" w:type="dxa"/>
            <w:gridSpan w:val="2"/>
          </w:tcPr>
          <w:p w:rsidR="00DD0C9A" w:rsidRDefault="00DD0C9A" w:rsidP="00B26540">
            <w:pPr>
              <w:jc w:val="center"/>
            </w:pPr>
            <w:r>
              <w:t>x</w:t>
            </w:r>
          </w:p>
        </w:tc>
        <w:tc>
          <w:tcPr>
            <w:tcW w:w="1560" w:type="dxa"/>
          </w:tcPr>
          <w:p w:rsidR="00DD0C9A" w:rsidRDefault="00DD0C9A" w:rsidP="00B26540">
            <w:pPr>
              <w:jc w:val="center"/>
            </w:pPr>
          </w:p>
        </w:tc>
        <w:tc>
          <w:tcPr>
            <w:tcW w:w="1551" w:type="dxa"/>
          </w:tcPr>
          <w:p w:rsidR="00DD0C9A" w:rsidRDefault="002A4586" w:rsidP="00B26540">
            <w:r>
              <w:t>Appendix 3</w:t>
            </w:r>
          </w:p>
        </w:tc>
        <w:tc>
          <w:tcPr>
            <w:tcW w:w="1374" w:type="dxa"/>
          </w:tcPr>
          <w:p w:rsidR="00DD0C9A" w:rsidRDefault="00DD0C9A" w:rsidP="00B26540">
            <w:pPr>
              <w:jc w:val="center"/>
            </w:pPr>
            <w:r>
              <w:t>Yes</w:t>
            </w:r>
          </w:p>
        </w:tc>
      </w:tr>
      <w:tr w:rsidR="00DD0C9A" w:rsidTr="00B26540">
        <w:tc>
          <w:tcPr>
            <w:tcW w:w="2862" w:type="dxa"/>
          </w:tcPr>
          <w:p w:rsidR="00DD0C9A" w:rsidRDefault="00DD0C9A" w:rsidP="00B26540">
            <w:r>
              <w:t>CS-6</w:t>
            </w:r>
          </w:p>
        </w:tc>
        <w:tc>
          <w:tcPr>
            <w:tcW w:w="1669" w:type="dxa"/>
            <w:gridSpan w:val="2"/>
          </w:tcPr>
          <w:p w:rsidR="00DD0C9A" w:rsidRDefault="00DD0C9A" w:rsidP="00B26540">
            <w:pPr>
              <w:jc w:val="center"/>
            </w:pPr>
            <w:r>
              <w:t>x</w:t>
            </w:r>
          </w:p>
        </w:tc>
        <w:tc>
          <w:tcPr>
            <w:tcW w:w="1560" w:type="dxa"/>
          </w:tcPr>
          <w:p w:rsidR="00DD0C9A" w:rsidRDefault="00DD0C9A" w:rsidP="00B26540">
            <w:pPr>
              <w:jc w:val="center"/>
            </w:pPr>
          </w:p>
        </w:tc>
        <w:tc>
          <w:tcPr>
            <w:tcW w:w="1551" w:type="dxa"/>
          </w:tcPr>
          <w:p w:rsidR="00DD0C9A" w:rsidRDefault="002A4586" w:rsidP="00B26540">
            <w:r>
              <w:t>Appendix 3</w:t>
            </w:r>
          </w:p>
        </w:tc>
        <w:tc>
          <w:tcPr>
            <w:tcW w:w="1374" w:type="dxa"/>
          </w:tcPr>
          <w:p w:rsidR="00DD0C9A" w:rsidRDefault="00DD0C9A" w:rsidP="00B26540">
            <w:pPr>
              <w:jc w:val="center"/>
            </w:pPr>
            <w:r>
              <w:t>Yes</w:t>
            </w:r>
          </w:p>
        </w:tc>
      </w:tr>
      <w:tr w:rsidR="00DD0C9A" w:rsidTr="00B26540">
        <w:tc>
          <w:tcPr>
            <w:tcW w:w="2862" w:type="dxa"/>
          </w:tcPr>
          <w:p w:rsidR="00DD0C9A" w:rsidRDefault="00DD0C9A" w:rsidP="00B26540">
            <w:r>
              <w:t>CS-8</w:t>
            </w:r>
          </w:p>
        </w:tc>
        <w:tc>
          <w:tcPr>
            <w:tcW w:w="1669" w:type="dxa"/>
            <w:gridSpan w:val="2"/>
          </w:tcPr>
          <w:p w:rsidR="00DD0C9A" w:rsidRDefault="00DD0C9A" w:rsidP="00B26540">
            <w:pPr>
              <w:jc w:val="center"/>
            </w:pPr>
            <w:r>
              <w:t>x</w:t>
            </w:r>
          </w:p>
        </w:tc>
        <w:tc>
          <w:tcPr>
            <w:tcW w:w="1560" w:type="dxa"/>
          </w:tcPr>
          <w:p w:rsidR="00DD0C9A" w:rsidRDefault="00DD0C9A" w:rsidP="00B26540">
            <w:pPr>
              <w:jc w:val="center"/>
            </w:pPr>
            <w:r>
              <w:t xml:space="preserve">x </w:t>
            </w:r>
          </w:p>
        </w:tc>
        <w:tc>
          <w:tcPr>
            <w:tcW w:w="1551" w:type="dxa"/>
          </w:tcPr>
          <w:p w:rsidR="00DD0C9A" w:rsidRDefault="002A4586" w:rsidP="00B26540">
            <w:r>
              <w:t>Appendix 3, 4</w:t>
            </w:r>
          </w:p>
        </w:tc>
        <w:tc>
          <w:tcPr>
            <w:tcW w:w="1374" w:type="dxa"/>
          </w:tcPr>
          <w:p w:rsidR="00DD0C9A" w:rsidRDefault="00DD0C9A" w:rsidP="00B26540">
            <w:pPr>
              <w:jc w:val="center"/>
            </w:pPr>
            <w:r>
              <w:t>Yes</w:t>
            </w:r>
          </w:p>
        </w:tc>
      </w:tr>
      <w:tr w:rsidR="00DD0C9A" w:rsidTr="00B26540">
        <w:tc>
          <w:tcPr>
            <w:tcW w:w="2862" w:type="dxa"/>
          </w:tcPr>
          <w:p w:rsidR="00DD0C9A" w:rsidRDefault="00DD0C9A" w:rsidP="00B26540">
            <w:r>
              <w:t>CS-9</w:t>
            </w:r>
          </w:p>
        </w:tc>
        <w:tc>
          <w:tcPr>
            <w:tcW w:w="1669" w:type="dxa"/>
            <w:gridSpan w:val="2"/>
          </w:tcPr>
          <w:p w:rsidR="00DD0C9A" w:rsidRDefault="00DD0C9A" w:rsidP="00B26540">
            <w:pPr>
              <w:jc w:val="center"/>
            </w:pPr>
            <w:r>
              <w:t>x</w:t>
            </w:r>
          </w:p>
        </w:tc>
        <w:tc>
          <w:tcPr>
            <w:tcW w:w="1560" w:type="dxa"/>
          </w:tcPr>
          <w:p w:rsidR="00DD0C9A" w:rsidRDefault="00DD0C9A" w:rsidP="00B26540">
            <w:pPr>
              <w:jc w:val="center"/>
            </w:pPr>
          </w:p>
        </w:tc>
        <w:tc>
          <w:tcPr>
            <w:tcW w:w="1551" w:type="dxa"/>
          </w:tcPr>
          <w:p w:rsidR="00DD0C9A" w:rsidRDefault="002A4586" w:rsidP="00B26540">
            <w:r>
              <w:t>Appendix 3</w:t>
            </w:r>
          </w:p>
        </w:tc>
        <w:tc>
          <w:tcPr>
            <w:tcW w:w="1374" w:type="dxa"/>
          </w:tcPr>
          <w:p w:rsidR="00DD0C9A" w:rsidRDefault="00DD0C9A" w:rsidP="00B26540">
            <w:pPr>
              <w:jc w:val="center"/>
            </w:pPr>
            <w:r>
              <w:t>Yes</w:t>
            </w:r>
          </w:p>
        </w:tc>
      </w:tr>
      <w:tr w:rsidR="00DD0C9A" w:rsidTr="00B26540">
        <w:tc>
          <w:tcPr>
            <w:tcW w:w="2862" w:type="dxa"/>
          </w:tcPr>
          <w:p w:rsidR="00DD0C9A" w:rsidRDefault="00DD0C9A" w:rsidP="00B26540">
            <w:r>
              <w:t>CS-10</w:t>
            </w:r>
          </w:p>
        </w:tc>
        <w:tc>
          <w:tcPr>
            <w:tcW w:w="1669" w:type="dxa"/>
            <w:gridSpan w:val="2"/>
          </w:tcPr>
          <w:p w:rsidR="00DD0C9A" w:rsidRDefault="00DD0C9A" w:rsidP="00B26540">
            <w:pPr>
              <w:jc w:val="center"/>
            </w:pPr>
            <w:r>
              <w:t>x</w:t>
            </w:r>
          </w:p>
        </w:tc>
        <w:tc>
          <w:tcPr>
            <w:tcW w:w="1560" w:type="dxa"/>
          </w:tcPr>
          <w:p w:rsidR="00DD0C9A" w:rsidRDefault="00DD0C9A" w:rsidP="00B26540">
            <w:pPr>
              <w:jc w:val="center"/>
            </w:pPr>
          </w:p>
        </w:tc>
        <w:tc>
          <w:tcPr>
            <w:tcW w:w="1551" w:type="dxa"/>
          </w:tcPr>
          <w:p w:rsidR="00DD0C9A" w:rsidRDefault="002A4586" w:rsidP="00B26540">
            <w:r>
              <w:t>Appendix 3</w:t>
            </w:r>
          </w:p>
        </w:tc>
        <w:tc>
          <w:tcPr>
            <w:tcW w:w="1374" w:type="dxa"/>
          </w:tcPr>
          <w:p w:rsidR="00DD0C9A" w:rsidRPr="00B62FAF" w:rsidRDefault="00DD0C9A" w:rsidP="00B26540">
            <w:pPr>
              <w:jc w:val="center"/>
              <w:rPr>
                <w:b/>
              </w:rPr>
            </w:pPr>
            <w:r>
              <w:t>Yes</w:t>
            </w:r>
          </w:p>
        </w:tc>
      </w:tr>
      <w:tr w:rsidR="00DD0C9A" w:rsidTr="00B26540">
        <w:tc>
          <w:tcPr>
            <w:tcW w:w="2862" w:type="dxa"/>
          </w:tcPr>
          <w:p w:rsidR="00DD0C9A" w:rsidRDefault="00DD0C9A" w:rsidP="00B26540">
            <w:r>
              <w:t>CS-11</w:t>
            </w:r>
          </w:p>
        </w:tc>
        <w:tc>
          <w:tcPr>
            <w:tcW w:w="1669" w:type="dxa"/>
            <w:gridSpan w:val="2"/>
          </w:tcPr>
          <w:p w:rsidR="00DD0C9A" w:rsidRDefault="00DD0C9A" w:rsidP="00B26540">
            <w:pPr>
              <w:jc w:val="center"/>
            </w:pPr>
            <w:r>
              <w:t>x</w:t>
            </w:r>
          </w:p>
        </w:tc>
        <w:tc>
          <w:tcPr>
            <w:tcW w:w="1560" w:type="dxa"/>
          </w:tcPr>
          <w:p w:rsidR="00DD0C9A" w:rsidRDefault="00DD0C9A" w:rsidP="00B26540">
            <w:pPr>
              <w:jc w:val="center"/>
            </w:pPr>
          </w:p>
        </w:tc>
        <w:tc>
          <w:tcPr>
            <w:tcW w:w="1551" w:type="dxa"/>
          </w:tcPr>
          <w:p w:rsidR="00DD0C9A" w:rsidRDefault="002A4586" w:rsidP="00B26540">
            <w:r>
              <w:t>Appendix 3</w:t>
            </w:r>
          </w:p>
        </w:tc>
        <w:tc>
          <w:tcPr>
            <w:tcW w:w="1374" w:type="dxa"/>
          </w:tcPr>
          <w:p w:rsidR="00DD0C9A" w:rsidRDefault="00DD0C9A" w:rsidP="00B26540">
            <w:pPr>
              <w:jc w:val="center"/>
            </w:pPr>
            <w:r>
              <w:t>Yes</w:t>
            </w:r>
          </w:p>
        </w:tc>
      </w:tr>
      <w:tr w:rsidR="00DD0C9A" w:rsidTr="00B26540">
        <w:tc>
          <w:tcPr>
            <w:tcW w:w="2862" w:type="dxa"/>
          </w:tcPr>
          <w:p w:rsidR="00DD0C9A" w:rsidRDefault="00DD0C9A" w:rsidP="00B26540">
            <w:r>
              <w:t>CS-12</w:t>
            </w:r>
          </w:p>
        </w:tc>
        <w:tc>
          <w:tcPr>
            <w:tcW w:w="1669" w:type="dxa"/>
            <w:gridSpan w:val="2"/>
          </w:tcPr>
          <w:p w:rsidR="00DD0C9A" w:rsidRDefault="00DD0C9A" w:rsidP="00B26540">
            <w:pPr>
              <w:jc w:val="center"/>
            </w:pPr>
            <w:r>
              <w:t>x</w:t>
            </w:r>
          </w:p>
        </w:tc>
        <w:tc>
          <w:tcPr>
            <w:tcW w:w="1560" w:type="dxa"/>
          </w:tcPr>
          <w:p w:rsidR="00DD0C9A" w:rsidRDefault="00DD0C9A" w:rsidP="00B26540">
            <w:pPr>
              <w:jc w:val="center"/>
            </w:pPr>
          </w:p>
        </w:tc>
        <w:tc>
          <w:tcPr>
            <w:tcW w:w="1551" w:type="dxa"/>
          </w:tcPr>
          <w:p w:rsidR="00DD0C9A" w:rsidRDefault="002A4586" w:rsidP="00B26540">
            <w:r>
              <w:t>Appendix 3</w:t>
            </w:r>
          </w:p>
        </w:tc>
        <w:tc>
          <w:tcPr>
            <w:tcW w:w="1374" w:type="dxa"/>
          </w:tcPr>
          <w:p w:rsidR="00DD0C9A" w:rsidRDefault="00DD0C9A" w:rsidP="00B26540">
            <w:pPr>
              <w:jc w:val="center"/>
            </w:pPr>
            <w:r>
              <w:t>Yes</w:t>
            </w:r>
          </w:p>
        </w:tc>
      </w:tr>
      <w:tr w:rsidR="00DD0C9A" w:rsidTr="00B26540">
        <w:tc>
          <w:tcPr>
            <w:tcW w:w="2862" w:type="dxa"/>
          </w:tcPr>
          <w:p w:rsidR="00DD0C9A" w:rsidRDefault="00DD0C9A" w:rsidP="00B26540">
            <w:r>
              <w:t>PV-1</w:t>
            </w:r>
          </w:p>
        </w:tc>
        <w:tc>
          <w:tcPr>
            <w:tcW w:w="1669" w:type="dxa"/>
            <w:gridSpan w:val="2"/>
          </w:tcPr>
          <w:p w:rsidR="00DD0C9A" w:rsidRDefault="00DD0C9A" w:rsidP="00B26540">
            <w:pPr>
              <w:jc w:val="center"/>
            </w:pPr>
            <w:r>
              <w:t>x</w:t>
            </w:r>
          </w:p>
        </w:tc>
        <w:tc>
          <w:tcPr>
            <w:tcW w:w="1560" w:type="dxa"/>
          </w:tcPr>
          <w:p w:rsidR="00DD0C9A" w:rsidRDefault="00DD0C9A" w:rsidP="00B26540">
            <w:pPr>
              <w:jc w:val="center"/>
            </w:pPr>
          </w:p>
        </w:tc>
        <w:tc>
          <w:tcPr>
            <w:tcW w:w="1551" w:type="dxa"/>
          </w:tcPr>
          <w:p w:rsidR="00DD0C9A" w:rsidRDefault="002A4586" w:rsidP="00B26540">
            <w:r>
              <w:t>Appendix 3</w:t>
            </w:r>
          </w:p>
        </w:tc>
        <w:tc>
          <w:tcPr>
            <w:tcW w:w="1374" w:type="dxa"/>
          </w:tcPr>
          <w:p w:rsidR="00DD0C9A" w:rsidRDefault="00DD0C9A" w:rsidP="00B26540">
            <w:pPr>
              <w:jc w:val="center"/>
            </w:pPr>
            <w:r>
              <w:t>Yes</w:t>
            </w:r>
          </w:p>
        </w:tc>
      </w:tr>
      <w:tr w:rsidR="00DD0C9A" w:rsidTr="00B26540">
        <w:tc>
          <w:tcPr>
            <w:tcW w:w="2862" w:type="dxa"/>
          </w:tcPr>
          <w:p w:rsidR="00DD0C9A" w:rsidRPr="00186CF7" w:rsidRDefault="00DD0C9A" w:rsidP="00B26540">
            <w:r w:rsidRPr="00186CF7">
              <w:t>GV14JAW182</w:t>
            </w:r>
          </w:p>
        </w:tc>
        <w:tc>
          <w:tcPr>
            <w:tcW w:w="1669" w:type="dxa"/>
            <w:gridSpan w:val="2"/>
          </w:tcPr>
          <w:p w:rsidR="00DD0C9A" w:rsidRDefault="00DD0C9A" w:rsidP="00B26540">
            <w:pPr>
              <w:jc w:val="center"/>
            </w:pPr>
            <w:r>
              <w:t>x</w:t>
            </w:r>
          </w:p>
        </w:tc>
        <w:tc>
          <w:tcPr>
            <w:tcW w:w="1560" w:type="dxa"/>
          </w:tcPr>
          <w:p w:rsidR="00DD0C9A" w:rsidRDefault="00DD0C9A" w:rsidP="00B26540">
            <w:pPr>
              <w:jc w:val="center"/>
            </w:pPr>
          </w:p>
        </w:tc>
        <w:tc>
          <w:tcPr>
            <w:tcW w:w="1551" w:type="dxa"/>
          </w:tcPr>
          <w:p w:rsidR="00DD0C9A" w:rsidRDefault="002A4586" w:rsidP="00B26540">
            <w:r>
              <w:t>Appendix 3</w:t>
            </w:r>
          </w:p>
        </w:tc>
        <w:tc>
          <w:tcPr>
            <w:tcW w:w="1374" w:type="dxa"/>
          </w:tcPr>
          <w:p w:rsidR="00DD0C9A" w:rsidRDefault="00DD0C9A" w:rsidP="00B26540">
            <w:pPr>
              <w:jc w:val="center"/>
            </w:pPr>
            <w:r>
              <w:t>Yes</w:t>
            </w:r>
          </w:p>
        </w:tc>
      </w:tr>
      <w:tr w:rsidR="00DD0C9A" w:rsidTr="00B26540">
        <w:tc>
          <w:tcPr>
            <w:tcW w:w="2862" w:type="dxa"/>
          </w:tcPr>
          <w:p w:rsidR="00DD0C9A" w:rsidRPr="00186CF7" w:rsidRDefault="00DD0C9A" w:rsidP="00B26540">
            <w:r w:rsidRPr="00186CF7">
              <w:t>GV14JAW183</w:t>
            </w:r>
          </w:p>
        </w:tc>
        <w:tc>
          <w:tcPr>
            <w:tcW w:w="1669" w:type="dxa"/>
            <w:gridSpan w:val="2"/>
          </w:tcPr>
          <w:p w:rsidR="00DD0C9A" w:rsidRDefault="00DD0C9A" w:rsidP="00B26540">
            <w:pPr>
              <w:jc w:val="center"/>
            </w:pPr>
            <w:r>
              <w:t>x</w:t>
            </w:r>
          </w:p>
        </w:tc>
        <w:tc>
          <w:tcPr>
            <w:tcW w:w="1560" w:type="dxa"/>
          </w:tcPr>
          <w:p w:rsidR="00DD0C9A" w:rsidRDefault="00DD0C9A" w:rsidP="00B26540">
            <w:pPr>
              <w:jc w:val="center"/>
            </w:pPr>
          </w:p>
        </w:tc>
        <w:tc>
          <w:tcPr>
            <w:tcW w:w="1551" w:type="dxa"/>
          </w:tcPr>
          <w:p w:rsidR="00DD0C9A" w:rsidRDefault="002A4586" w:rsidP="00B26540">
            <w:r>
              <w:t>Appendix 3</w:t>
            </w:r>
          </w:p>
        </w:tc>
        <w:tc>
          <w:tcPr>
            <w:tcW w:w="1374" w:type="dxa"/>
          </w:tcPr>
          <w:p w:rsidR="00DD0C9A" w:rsidRDefault="00DD0C9A" w:rsidP="00B26540">
            <w:pPr>
              <w:jc w:val="center"/>
            </w:pPr>
            <w:r>
              <w:t>Yes</w:t>
            </w:r>
          </w:p>
        </w:tc>
      </w:tr>
      <w:tr w:rsidR="00DD0C9A" w:rsidTr="00B26540">
        <w:tc>
          <w:tcPr>
            <w:tcW w:w="2862" w:type="dxa"/>
          </w:tcPr>
          <w:p w:rsidR="00DD0C9A" w:rsidRPr="00186CF7" w:rsidRDefault="00DD0C9A" w:rsidP="00B26540">
            <w:r w:rsidRPr="00186CF7">
              <w:t>AB14JAW004</w:t>
            </w:r>
          </w:p>
        </w:tc>
        <w:tc>
          <w:tcPr>
            <w:tcW w:w="1669" w:type="dxa"/>
            <w:gridSpan w:val="2"/>
          </w:tcPr>
          <w:p w:rsidR="00DD0C9A" w:rsidRDefault="00DD0C9A" w:rsidP="00B26540">
            <w:pPr>
              <w:jc w:val="center"/>
            </w:pPr>
            <w:r>
              <w:t>x</w:t>
            </w:r>
          </w:p>
        </w:tc>
        <w:tc>
          <w:tcPr>
            <w:tcW w:w="1560" w:type="dxa"/>
          </w:tcPr>
          <w:p w:rsidR="00DD0C9A" w:rsidRDefault="00DD0C9A" w:rsidP="00B26540">
            <w:pPr>
              <w:jc w:val="center"/>
            </w:pPr>
          </w:p>
        </w:tc>
        <w:tc>
          <w:tcPr>
            <w:tcW w:w="1551" w:type="dxa"/>
          </w:tcPr>
          <w:p w:rsidR="00DD0C9A" w:rsidRDefault="002A4586" w:rsidP="00B26540">
            <w:r>
              <w:t>Appendix 3</w:t>
            </w:r>
          </w:p>
        </w:tc>
        <w:tc>
          <w:tcPr>
            <w:tcW w:w="1374" w:type="dxa"/>
          </w:tcPr>
          <w:p w:rsidR="00DD0C9A" w:rsidRDefault="00DD0C9A" w:rsidP="00B26540">
            <w:pPr>
              <w:jc w:val="center"/>
            </w:pPr>
            <w:r>
              <w:t>Yes</w:t>
            </w:r>
          </w:p>
        </w:tc>
      </w:tr>
      <w:tr w:rsidR="00DD0C9A" w:rsidTr="00B26540">
        <w:tc>
          <w:tcPr>
            <w:tcW w:w="2862" w:type="dxa"/>
          </w:tcPr>
          <w:p w:rsidR="00DD0C9A" w:rsidRPr="00186CF7" w:rsidRDefault="00DD0C9A" w:rsidP="00B26540">
            <w:r w:rsidRPr="00186CF7">
              <w:t>GV14SKR033</w:t>
            </w:r>
          </w:p>
        </w:tc>
        <w:tc>
          <w:tcPr>
            <w:tcW w:w="1669" w:type="dxa"/>
            <w:gridSpan w:val="2"/>
          </w:tcPr>
          <w:p w:rsidR="00DD0C9A" w:rsidRDefault="00DD0C9A" w:rsidP="00B26540">
            <w:pPr>
              <w:jc w:val="center"/>
            </w:pPr>
            <w:r>
              <w:t>x</w:t>
            </w:r>
          </w:p>
        </w:tc>
        <w:tc>
          <w:tcPr>
            <w:tcW w:w="1560" w:type="dxa"/>
          </w:tcPr>
          <w:p w:rsidR="00DD0C9A" w:rsidRDefault="00DD0C9A" w:rsidP="00B26540">
            <w:pPr>
              <w:jc w:val="center"/>
            </w:pPr>
          </w:p>
        </w:tc>
        <w:tc>
          <w:tcPr>
            <w:tcW w:w="1551" w:type="dxa"/>
          </w:tcPr>
          <w:p w:rsidR="00DD0C9A" w:rsidRDefault="002A4586" w:rsidP="00B26540">
            <w:r>
              <w:t>Appendix 3</w:t>
            </w:r>
          </w:p>
        </w:tc>
        <w:tc>
          <w:tcPr>
            <w:tcW w:w="1374" w:type="dxa"/>
          </w:tcPr>
          <w:p w:rsidR="00DD0C9A" w:rsidRDefault="00DD0C9A" w:rsidP="00B26540">
            <w:pPr>
              <w:jc w:val="center"/>
            </w:pPr>
            <w:r>
              <w:t>Yes</w:t>
            </w:r>
          </w:p>
        </w:tc>
      </w:tr>
      <w:tr w:rsidR="00DD0C9A" w:rsidTr="00B26540">
        <w:tc>
          <w:tcPr>
            <w:tcW w:w="2862" w:type="dxa"/>
          </w:tcPr>
          <w:p w:rsidR="00DD0C9A" w:rsidRPr="00186CF7" w:rsidRDefault="00DD0C9A" w:rsidP="00B26540">
            <w:r w:rsidRPr="00186CF7">
              <w:t>GV15JAW261</w:t>
            </w:r>
          </w:p>
        </w:tc>
        <w:tc>
          <w:tcPr>
            <w:tcW w:w="1669" w:type="dxa"/>
            <w:gridSpan w:val="2"/>
          </w:tcPr>
          <w:p w:rsidR="00DD0C9A" w:rsidRDefault="00DD0C9A" w:rsidP="00B26540">
            <w:pPr>
              <w:jc w:val="center"/>
            </w:pPr>
            <w:r>
              <w:t>x</w:t>
            </w:r>
          </w:p>
        </w:tc>
        <w:tc>
          <w:tcPr>
            <w:tcW w:w="1560" w:type="dxa"/>
          </w:tcPr>
          <w:p w:rsidR="00DD0C9A" w:rsidRDefault="00DD0C9A" w:rsidP="00B26540">
            <w:pPr>
              <w:jc w:val="center"/>
            </w:pPr>
          </w:p>
        </w:tc>
        <w:tc>
          <w:tcPr>
            <w:tcW w:w="1551" w:type="dxa"/>
          </w:tcPr>
          <w:p w:rsidR="00DD0C9A" w:rsidRDefault="002A4586" w:rsidP="00B26540">
            <w:r>
              <w:t>Appendix 3</w:t>
            </w:r>
          </w:p>
        </w:tc>
        <w:tc>
          <w:tcPr>
            <w:tcW w:w="1374" w:type="dxa"/>
          </w:tcPr>
          <w:p w:rsidR="00DD0C9A" w:rsidRDefault="00DD0C9A" w:rsidP="00B26540">
            <w:pPr>
              <w:jc w:val="center"/>
            </w:pPr>
            <w:r>
              <w:t>Yes</w:t>
            </w:r>
          </w:p>
        </w:tc>
      </w:tr>
      <w:tr w:rsidR="00DD0C9A" w:rsidTr="00B26540">
        <w:tc>
          <w:tcPr>
            <w:tcW w:w="2862" w:type="dxa"/>
          </w:tcPr>
          <w:p w:rsidR="00DD0C9A" w:rsidRDefault="00DD0C9A" w:rsidP="00B26540">
            <w:r w:rsidRPr="00186CF7">
              <w:t>BM16JAW070</w:t>
            </w:r>
          </w:p>
        </w:tc>
        <w:tc>
          <w:tcPr>
            <w:tcW w:w="1669" w:type="dxa"/>
            <w:gridSpan w:val="2"/>
          </w:tcPr>
          <w:p w:rsidR="00DD0C9A" w:rsidRDefault="00DD0C9A" w:rsidP="00B26540">
            <w:pPr>
              <w:jc w:val="center"/>
            </w:pPr>
            <w:r>
              <w:t>x</w:t>
            </w:r>
          </w:p>
        </w:tc>
        <w:tc>
          <w:tcPr>
            <w:tcW w:w="1560" w:type="dxa"/>
          </w:tcPr>
          <w:p w:rsidR="00DD0C9A" w:rsidRDefault="00DD0C9A" w:rsidP="00B26540">
            <w:pPr>
              <w:jc w:val="center"/>
            </w:pPr>
          </w:p>
        </w:tc>
        <w:tc>
          <w:tcPr>
            <w:tcW w:w="1551" w:type="dxa"/>
          </w:tcPr>
          <w:p w:rsidR="00DD0C9A" w:rsidRDefault="002A4586" w:rsidP="00B26540">
            <w:r>
              <w:t>Appendix 3</w:t>
            </w:r>
          </w:p>
        </w:tc>
        <w:tc>
          <w:tcPr>
            <w:tcW w:w="1374" w:type="dxa"/>
          </w:tcPr>
          <w:p w:rsidR="00DD0C9A" w:rsidRDefault="00DD0C9A" w:rsidP="00B26540">
            <w:pPr>
              <w:jc w:val="center"/>
            </w:pPr>
            <w:r>
              <w:t>Yes</w:t>
            </w:r>
          </w:p>
        </w:tc>
      </w:tr>
      <w:tr w:rsidR="00DD0C9A" w:rsidTr="00B26540">
        <w:tc>
          <w:tcPr>
            <w:tcW w:w="9016" w:type="dxa"/>
            <w:gridSpan w:val="6"/>
          </w:tcPr>
          <w:p w:rsidR="00DD0C9A" w:rsidRPr="00C57EDB" w:rsidRDefault="00DD0C9A" w:rsidP="00B26540">
            <w:pPr>
              <w:rPr>
                <w:b/>
                <w:i/>
              </w:rPr>
            </w:pPr>
            <w:r w:rsidRPr="00C57EDB">
              <w:rPr>
                <w:b/>
                <w:i/>
              </w:rPr>
              <w:t>Data treatment, uncertainties, and other relevant constraints</w:t>
            </w:r>
          </w:p>
        </w:tc>
      </w:tr>
      <w:tr w:rsidR="00DD0C9A" w:rsidTr="00B26540">
        <w:tc>
          <w:tcPr>
            <w:tcW w:w="9016" w:type="dxa"/>
            <w:gridSpan w:val="6"/>
          </w:tcPr>
          <w:p w:rsidR="00DD0C9A" w:rsidRPr="009F121C" w:rsidRDefault="00DD0C9A" w:rsidP="00B26540">
            <w:pPr>
              <w:rPr>
                <w:i/>
              </w:rPr>
            </w:pPr>
            <w:proofErr w:type="spellStart"/>
            <w:r w:rsidRPr="009F121C">
              <w:rPr>
                <w:i/>
              </w:rPr>
              <w:t>AHe</w:t>
            </w:r>
            <w:proofErr w:type="spellEnd"/>
            <w:r w:rsidRPr="009F121C">
              <w:rPr>
                <w:i/>
              </w:rPr>
              <w:t xml:space="preserve"> Data</w:t>
            </w:r>
          </w:p>
        </w:tc>
      </w:tr>
      <w:tr w:rsidR="00DD0C9A" w:rsidTr="00B26540">
        <w:tc>
          <w:tcPr>
            <w:tcW w:w="9016" w:type="dxa"/>
            <w:gridSpan w:val="6"/>
          </w:tcPr>
          <w:p w:rsidR="00DD0C9A" w:rsidRDefault="00DD0C9A" w:rsidP="00B26540">
            <w:r>
              <w:t>He dates (Ma): Single gra</w:t>
            </w:r>
            <w:r w:rsidR="002A4586">
              <w:t xml:space="preserve">in </w:t>
            </w:r>
            <w:proofErr w:type="spellStart"/>
            <w:r w:rsidR="002A4586">
              <w:t>AHe</w:t>
            </w:r>
            <w:proofErr w:type="spellEnd"/>
            <w:r w:rsidR="002A4586">
              <w:t xml:space="preserve"> ages were from Appendix 4</w:t>
            </w:r>
            <w:r w:rsidRPr="00237C02">
              <w:t xml:space="preserve"> </w:t>
            </w:r>
            <w:r>
              <w:t>incorporated in modelling of AFT data</w:t>
            </w:r>
          </w:p>
          <w:p w:rsidR="00DD0C9A" w:rsidRPr="00237C02" w:rsidRDefault="00DD0C9A" w:rsidP="00B26540">
            <w:r>
              <w:t>Error (Ma): applied in modelling: error of 1</w:t>
            </w:r>
            <w:r>
              <w:rPr>
                <w:rFonts w:cstheme="minorHAnsi"/>
              </w:rPr>
              <w:t>σ</w:t>
            </w:r>
            <w:r>
              <w:t xml:space="preserve"> was used from </w:t>
            </w:r>
            <w:r w:rsidR="002A4586">
              <w:t>Appendix 3</w:t>
            </w:r>
          </w:p>
          <w:p w:rsidR="00DD0C9A" w:rsidRDefault="00DD0C9A" w:rsidP="00B26540">
            <w:r>
              <w:t>r (</w:t>
            </w:r>
            <w:r>
              <w:rPr>
                <w:rFonts w:cstheme="minorHAnsi"/>
              </w:rPr>
              <w:t>µ</w:t>
            </w:r>
            <w:r>
              <w:t>m): Equivalent spherical radius of each grain</w:t>
            </w:r>
          </w:p>
        </w:tc>
      </w:tr>
      <w:tr w:rsidR="00DD0C9A" w:rsidTr="00B26540">
        <w:tc>
          <w:tcPr>
            <w:tcW w:w="9016" w:type="dxa"/>
            <w:gridSpan w:val="6"/>
          </w:tcPr>
          <w:p w:rsidR="00DD0C9A" w:rsidRPr="00C57EDB" w:rsidRDefault="00DD0C9A" w:rsidP="00B26540">
            <w:pPr>
              <w:rPr>
                <w:i/>
              </w:rPr>
            </w:pPr>
            <w:r w:rsidRPr="00C57EDB">
              <w:rPr>
                <w:i/>
              </w:rPr>
              <w:t>AFT data</w:t>
            </w:r>
          </w:p>
        </w:tc>
      </w:tr>
      <w:tr w:rsidR="00DD0C9A" w:rsidTr="00B26540">
        <w:tc>
          <w:tcPr>
            <w:tcW w:w="9016" w:type="dxa"/>
            <w:gridSpan w:val="6"/>
          </w:tcPr>
          <w:p w:rsidR="00DD0C9A" w:rsidRPr="00237C02" w:rsidRDefault="00DD0C9A" w:rsidP="00B26540">
            <w:r>
              <w:t>r</w:t>
            </w:r>
            <w:r>
              <w:rPr>
                <w:vertAlign w:val="subscript"/>
              </w:rPr>
              <w:t>mr0</w:t>
            </w:r>
            <w:r>
              <w:t xml:space="preserve">: From </w:t>
            </w:r>
            <w:r w:rsidR="002A4586">
              <w:t>Appendix 3</w:t>
            </w:r>
          </w:p>
          <w:p w:rsidR="00DD0C9A" w:rsidRDefault="00DD0C9A" w:rsidP="00B26540">
            <w:r>
              <w:t xml:space="preserve">Lengths: Length data for all samples is available </w:t>
            </w:r>
            <w:r w:rsidRPr="00237C02">
              <w:t xml:space="preserve">in </w:t>
            </w:r>
            <w:r w:rsidR="002A4586">
              <w:t>Appendix 3</w:t>
            </w:r>
          </w:p>
          <w:p w:rsidR="00DD0C9A" w:rsidRDefault="00DD0C9A" w:rsidP="00B26540">
            <w:r>
              <w:t>Initial mean track length: 16.3</w:t>
            </w:r>
            <w:r w:rsidR="003C7EAF">
              <w:t xml:space="preserve"> </w:t>
            </w:r>
            <w:r>
              <w:rPr>
                <w:rFonts w:cstheme="minorHAnsi"/>
              </w:rPr>
              <w:t>µ</w:t>
            </w:r>
            <w:r>
              <w:t>m</w:t>
            </w:r>
          </w:p>
          <w:p w:rsidR="00DD0C9A" w:rsidRDefault="00DD0C9A" w:rsidP="00B26540">
            <w:r>
              <w:t>Track length reduction standard: 0.893</w:t>
            </w:r>
          </w:p>
        </w:tc>
      </w:tr>
      <w:tr w:rsidR="00DD0C9A" w:rsidTr="004A0B6A">
        <w:trPr>
          <w:trHeight w:val="956"/>
        </w:trPr>
        <w:tc>
          <w:tcPr>
            <w:tcW w:w="9016" w:type="dxa"/>
            <w:gridSpan w:val="6"/>
          </w:tcPr>
          <w:p w:rsidR="00DD0C9A" w:rsidRPr="00C57EDB" w:rsidRDefault="00DD0C9A" w:rsidP="00B26540">
            <w:pPr>
              <w:rPr>
                <w:b/>
              </w:rPr>
            </w:pPr>
            <w:r w:rsidRPr="00C57EDB">
              <w:rPr>
                <w:b/>
              </w:rPr>
              <w:lastRenderedPageBreak/>
              <w:t xml:space="preserve">2. Additional geological information </w:t>
            </w:r>
          </w:p>
        </w:tc>
      </w:tr>
      <w:tr w:rsidR="00DD0C9A" w:rsidTr="00B26540">
        <w:tc>
          <w:tcPr>
            <w:tcW w:w="4059" w:type="dxa"/>
            <w:gridSpan w:val="2"/>
          </w:tcPr>
          <w:p w:rsidR="00DD0C9A" w:rsidRDefault="00DD0C9A" w:rsidP="00B26540">
            <w:r>
              <w:t>Assumption</w:t>
            </w:r>
          </w:p>
        </w:tc>
        <w:tc>
          <w:tcPr>
            <w:tcW w:w="4957" w:type="dxa"/>
            <w:gridSpan w:val="4"/>
          </w:tcPr>
          <w:p w:rsidR="00DD0C9A" w:rsidRDefault="00DD0C9A" w:rsidP="00B26540">
            <w:r>
              <w:t>Explanation and data source</w:t>
            </w:r>
          </w:p>
        </w:tc>
      </w:tr>
      <w:tr w:rsidR="00DD0C9A" w:rsidTr="00B26540">
        <w:tc>
          <w:tcPr>
            <w:tcW w:w="4059" w:type="dxa"/>
            <w:gridSpan w:val="2"/>
          </w:tcPr>
          <w:p w:rsidR="00DD0C9A" w:rsidRPr="00C64FE2" w:rsidRDefault="00AE63F3" w:rsidP="00AE63F3">
            <w:r>
              <w:t>Constraint at 500–400 Ma, 190–</w:t>
            </w:r>
            <w:r w:rsidR="00DD0C9A" w:rsidRPr="00C64FE2">
              <w:t>150</w:t>
            </w:r>
            <w:r w:rsidR="00DD0C9A" w:rsidRPr="00C64FE2">
              <w:rPr>
                <w:vertAlign w:val="superscript"/>
              </w:rPr>
              <w:t>o</w:t>
            </w:r>
            <w:r w:rsidR="00DD0C9A" w:rsidRPr="00C64FE2">
              <w:t>C</w:t>
            </w:r>
          </w:p>
        </w:tc>
        <w:tc>
          <w:tcPr>
            <w:tcW w:w="4957" w:type="dxa"/>
            <w:gridSpan w:val="4"/>
          </w:tcPr>
          <w:p w:rsidR="00DD0C9A" w:rsidRPr="006E5961" w:rsidRDefault="00DD0C9A" w:rsidP="00B26540">
            <w:pPr>
              <w:rPr>
                <w:color w:val="FF0000"/>
              </w:rPr>
            </w:pPr>
            <w:r>
              <w:t>Initial broad constraint to simulate cooling from depth.</w:t>
            </w:r>
          </w:p>
        </w:tc>
      </w:tr>
      <w:tr w:rsidR="00DD0C9A" w:rsidTr="00B26540">
        <w:tc>
          <w:tcPr>
            <w:tcW w:w="4059" w:type="dxa"/>
            <w:gridSpan w:val="2"/>
          </w:tcPr>
          <w:p w:rsidR="00DD0C9A" w:rsidRDefault="00AE63F3" w:rsidP="00B26540">
            <w:r>
              <w:t>Constraint at 213–183 Ma, 25–</w:t>
            </w:r>
            <w:r w:rsidR="00DD0C9A">
              <w:t>10</w:t>
            </w:r>
            <w:r w:rsidR="00DD0C9A" w:rsidRPr="00C64FE2">
              <w:rPr>
                <w:vertAlign w:val="superscript"/>
              </w:rPr>
              <w:t>o</w:t>
            </w:r>
            <w:r w:rsidR="00DD0C9A" w:rsidRPr="00C64FE2">
              <w:t>C</w:t>
            </w:r>
          </w:p>
          <w:p w:rsidR="00DD0C9A" w:rsidRPr="00C64FE2" w:rsidRDefault="00DD0C9A" w:rsidP="00B26540">
            <w:r>
              <w:t>(samples CS-1, CS-4, CS-5, CS-6, CS-8, CS-9, CS-10, CS-11, CS-12 &amp; PV-1)</w:t>
            </w:r>
          </w:p>
        </w:tc>
        <w:tc>
          <w:tcPr>
            <w:tcW w:w="4957" w:type="dxa"/>
            <w:gridSpan w:val="4"/>
          </w:tcPr>
          <w:p w:rsidR="00DD0C9A" w:rsidRDefault="00DD0C9A" w:rsidP="00A20C74">
            <w:r>
              <w:t xml:space="preserve">Unconformity observed above sampled Pine Creek Orogen basement suggests samples were previously at/near surface. Exact timing of unconformity is poorly </w:t>
            </w:r>
            <w:r w:rsidRPr="00645FBC">
              <w:t>constrained, however the directly overlying Plover Formation was deposited</w:t>
            </w:r>
            <w:r w:rsidR="00AE63F3">
              <w:t xml:space="preserve"> between 191–</w:t>
            </w:r>
            <w:r>
              <w:t xml:space="preserve">183 Ma (Lowe-Young </w:t>
            </w:r>
            <w:r w:rsidRPr="0095276D">
              <w:rPr>
                <w:i/>
              </w:rPr>
              <w:t>et al</w:t>
            </w:r>
            <w:r>
              <w:t xml:space="preserve">. 2003), and additional leeway has been included in the constraint to allow for this uncertainty. </w:t>
            </w:r>
          </w:p>
        </w:tc>
      </w:tr>
      <w:tr w:rsidR="00DD0C9A" w:rsidTr="00B26540">
        <w:tc>
          <w:tcPr>
            <w:tcW w:w="4059" w:type="dxa"/>
            <w:gridSpan w:val="2"/>
          </w:tcPr>
          <w:p w:rsidR="00DD0C9A" w:rsidRDefault="00DD0C9A" w:rsidP="00B26540">
            <w:r>
              <w:t>Constraint at 133-113 Ma, 25 -10</w:t>
            </w:r>
            <w:r w:rsidRPr="00C64FE2">
              <w:rPr>
                <w:vertAlign w:val="superscript"/>
              </w:rPr>
              <w:t>o</w:t>
            </w:r>
            <w:r w:rsidRPr="00C64FE2">
              <w:t>C</w:t>
            </w:r>
          </w:p>
          <w:p w:rsidR="00DD0C9A" w:rsidRDefault="00DD0C9A" w:rsidP="00B26540">
            <w:r>
              <w:t>(samples GV14JAW182, GV14JAW183, AB14JAW004, GV14SKR033, GV15JAW261 &amp; BM16JAW070)</w:t>
            </w:r>
          </w:p>
        </w:tc>
        <w:tc>
          <w:tcPr>
            <w:tcW w:w="4957" w:type="dxa"/>
            <w:gridSpan w:val="4"/>
          </w:tcPr>
          <w:p w:rsidR="00DD0C9A" w:rsidRDefault="00DD0C9A" w:rsidP="00B26540">
            <w:r w:rsidRPr="005C0BEB">
              <w:t xml:space="preserve">Unconformity observed above sampled </w:t>
            </w:r>
            <w:r>
              <w:t xml:space="preserve">Arnhem Province </w:t>
            </w:r>
            <w:r w:rsidRPr="005C0BEB">
              <w:t xml:space="preserve">basement suggests samples were previously at/near surface. Exact timing of unconformity is poorly constrained, however the directly </w:t>
            </w:r>
            <w:r w:rsidRPr="00645FBC">
              <w:t>overlying Walker River Formation</w:t>
            </w:r>
            <w:r>
              <w:t xml:space="preserve"> does not exceed Aptian age</w:t>
            </w:r>
            <w:r w:rsidRPr="005C0BEB">
              <w:t xml:space="preserve"> </w:t>
            </w:r>
            <w:r w:rsidR="00A20C74">
              <w:t>(</w:t>
            </w:r>
            <w:proofErr w:type="spellStart"/>
            <w:r w:rsidR="00A20C74">
              <w:t>Krassay</w:t>
            </w:r>
            <w:proofErr w:type="spellEnd"/>
            <w:r w:rsidRPr="00E95990">
              <w:t xml:space="preserve"> 1994)</w:t>
            </w:r>
            <w:r>
              <w:t xml:space="preserve">, </w:t>
            </w:r>
            <w:r w:rsidRPr="005C0BEB">
              <w:t>and additional leeway has been included in the constraint to allow for this uncertainty.</w:t>
            </w:r>
          </w:p>
        </w:tc>
      </w:tr>
      <w:tr w:rsidR="004A0B6A" w:rsidTr="00B26540">
        <w:tc>
          <w:tcPr>
            <w:tcW w:w="9016" w:type="dxa"/>
            <w:gridSpan w:val="6"/>
          </w:tcPr>
          <w:p w:rsidR="004A0B6A" w:rsidRPr="00D10611" w:rsidRDefault="004A0B6A" w:rsidP="00B26540">
            <w:pPr>
              <w:rPr>
                <w:b/>
              </w:rPr>
            </w:pPr>
            <w:r w:rsidRPr="00D10611">
              <w:rPr>
                <w:b/>
              </w:rPr>
              <w:t>3. System- and model-specific parameters</w:t>
            </w:r>
          </w:p>
        </w:tc>
      </w:tr>
      <w:tr w:rsidR="004A0B6A" w:rsidTr="00B26540">
        <w:tc>
          <w:tcPr>
            <w:tcW w:w="9016" w:type="dxa"/>
            <w:gridSpan w:val="6"/>
          </w:tcPr>
          <w:p w:rsidR="004A0B6A" w:rsidRDefault="004A0B6A" w:rsidP="00B26540">
            <w:pPr>
              <w:rPr>
                <w:i/>
              </w:rPr>
            </w:pPr>
            <w:r>
              <w:rPr>
                <w:i/>
              </w:rPr>
              <w:t xml:space="preserve">He radiation damage model: </w:t>
            </w:r>
            <w:r w:rsidRPr="005C6469">
              <w:t xml:space="preserve">Flowers </w:t>
            </w:r>
            <w:r w:rsidRPr="0095276D">
              <w:rPr>
                <w:i/>
              </w:rPr>
              <w:t>et al</w:t>
            </w:r>
            <w:r w:rsidRPr="005C6469">
              <w:t>. 2009</w:t>
            </w:r>
          </w:p>
          <w:p w:rsidR="004A0B6A" w:rsidRPr="00A37912" w:rsidRDefault="004A0B6A" w:rsidP="00B26540">
            <w:r>
              <w:rPr>
                <w:i/>
              </w:rPr>
              <w:t xml:space="preserve">FT annealing model: </w:t>
            </w:r>
            <w:proofErr w:type="spellStart"/>
            <w:r>
              <w:t>Ketcham</w:t>
            </w:r>
            <w:proofErr w:type="spellEnd"/>
            <w:r>
              <w:t xml:space="preserve"> </w:t>
            </w:r>
            <w:r w:rsidRPr="0095276D">
              <w:rPr>
                <w:i/>
              </w:rPr>
              <w:t>et al</w:t>
            </w:r>
            <w:r>
              <w:t>. 2007</w:t>
            </w:r>
          </w:p>
          <w:p w:rsidR="004A0B6A" w:rsidRPr="00A37912" w:rsidRDefault="004A0B6A" w:rsidP="00B26540">
            <w:r>
              <w:rPr>
                <w:i/>
              </w:rPr>
              <w:t xml:space="preserve">FT c-axis projection: </w:t>
            </w:r>
            <w:r>
              <w:t>Not used</w:t>
            </w:r>
          </w:p>
          <w:p w:rsidR="004A0B6A" w:rsidRDefault="004A0B6A" w:rsidP="00B26540">
            <w:r>
              <w:rPr>
                <w:i/>
              </w:rPr>
              <w:t xml:space="preserve">Modelling Code: </w:t>
            </w:r>
            <w:proofErr w:type="spellStart"/>
            <w:r>
              <w:t>QTQt</w:t>
            </w:r>
            <w:proofErr w:type="spellEnd"/>
            <w:r>
              <w:t xml:space="preserve"> 5.6.0 PC</w:t>
            </w:r>
          </w:p>
          <w:p w:rsidR="004A0B6A" w:rsidRDefault="004A0B6A" w:rsidP="00B26540">
            <w:r w:rsidRPr="00D10611">
              <w:rPr>
                <w:i/>
              </w:rPr>
              <w:t>Statistical fitting criteria:</w:t>
            </w:r>
            <w:r>
              <w:t xml:space="preserve"> Default </w:t>
            </w:r>
            <w:proofErr w:type="spellStart"/>
            <w:r>
              <w:t>QTQt</w:t>
            </w:r>
            <w:proofErr w:type="spellEnd"/>
            <w:r>
              <w:t xml:space="preserve"> values</w:t>
            </w:r>
          </w:p>
          <w:p w:rsidR="004A0B6A" w:rsidRDefault="004A0B6A" w:rsidP="00B26540">
            <w:r>
              <w:rPr>
                <w:i/>
              </w:rPr>
              <w:t xml:space="preserve">MCMC Parameters: </w:t>
            </w:r>
            <w:r>
              <w:t>Burn-in = 50,000, Post-burn-in = 50,000</w:t>
            </w:r>
          </w:p>
          <w:p w:rsidR="004A0B6A" w:rsidRPr="00D10611" w:rsidRDefault="004A0B6A" w:rsidP="00B26540">
            <w:proofErr w:type="spellStart"/>
            <w:r>
              <w:rPr>
                <w:i/>
              </w:rPr>
              <w:t>tT</w:t>
            </w:r>
            <w:proofErr w:type="spellEnd"/>
            <w:r>
              <w:rPr>
                <w:i/>
              </w:rPr>
              <w:t xml:space="preserve"> path characteristics: </w:t>
            </w:r>
            <w:r>
              <w:t>Not indicated</w:t>
            </w:r>
          </w:p>
        </w:tc>
      </w:tr>
    </w:tbl>
    <w:p w:rsidR="00DD0C9A" w:rsidRPr="00DD0C9A" w:rsidRDefault="00992F9C" w:rsidP="001E6018">
      <w:pPr>
        <w:spacing w:line="480" w:lineRule="auto"/>
        <w:jc w:val="both"/>
        <w:rPr>
          <w:rFonts w:cstheme="minorHAnsi"/>
        </w:rPr>
      </w:pPr>
      <w:r>
        <w:t xml:space="preserve">Individual sample radial plots and confined track length histograms are provided in Fig. 6. Samples from the Pine Creek Orogen yield central ages between </w:t>
      </w:r>
      <w:r w:rsidRPr="00755D5D">
        <w:rPr>
          <w:rFonts w:cstheme="minorHAnsi"/>
        </w:rPr>
        <w:t>352</w:t>
      </w:r>
      <w:r w:rsidR="001979BF">
        <w:rPr>
          <w:rFonts w:cstheme="minorHAnsi"/>
        </w:rPr>
        <w:t xml:space="preserve"> </w:t>
      </w:r>
      <w:r w:rsidRPr="00755D5D">
        <w:rPr>
          <w:rFonts w:cstheme="minorHAnsi"/>
        </w:rPr>
        <w:t>±</w:t>
      </w:r>
      <w:r w:rsidR="001979BF">
        <w:rPr>
          <w:rFonts w:cstheme="minorHAnsi"/>
        </w:rPr>
        <w:t xml:space="preserve"> </w:t>
      </w:r>
      <w:r w:rsidRPr="00755D5D">
        <w:rPr>
          <w:rFonts w:cstheme="minorHAnsi"/>
        </w:rPr>
        <w:t>14 Ma and 242</w:t>
      </w:r>
      <w:r w:rsidR="001979BF">
        <w:rPr>
          <w:rFonts w:cstheme="minorHAnsi"/>
        </w:rPr>
        <w:t xml:space="preserve"> </w:t>
      </w:r>
      <w:r w:rsidRPr="00755D5D">
        <w:rPr>
          <w:rFonts w:cstheme="minorHAnsi"/>
        </w:rPr>
        <w:t>±</w:t>
      </w:r>
      <w:r w:rsidR="001979BF">
        <w:rPr>
          <w:rFonts w:cstheme="minorHAnsi"/>
        </w:rPr>
        <w:t xml:space="preserve"> </w:t>
      </w:r>
      <w:r w:rsidRPr="00755D5D">
        <w:rPr>
          <w:rFonts w:cstheme="minorHAnsi"/>
        </w:rPr>
        <w:t>6 Ma</w:t>
      </w:r>
      <w:r>
        <w:rPr>
          <w:rFonts w:cstheme="minorHAnsi"/>
        </w:rPr>
        <w:t xml:space="preserve">, and demonstrate no apparent intra-sample age variation with respect to composition. Samples from the Arnhem Province yield AFT central ages between </w:t>
      </w:r>
      <w:r w:rsidRPr="00755D5D">
        <w:rPr>
          <w:rFonts w:cstheme="minorHAnsi"/>
        </w:rPr>
        <w:t>280</w:t>
      </w:r>
      <w:r w:rsidR="001979BF">
        <w:rPr>
          <w:rFonts w:cstheme="minorHAnsi"/>
        </w:rPr>
        <w:t xml:space="preserve"> </w:t>
      </w:r>
      <w:r w:rsidRPr="00755D5D">
        <w:rPr>
          <w:rFonts w:cstheme="minorHAnsi"/>
        </w:rPr>
        <w:t>±</w:t>
      </w:r>
      <w:r w:rsidR="001979BF">
        <w:rPr>
          <w:rFonts w:cstheme="minorHAnsi"/>
        </w:rPr>
        <w:t xml:space="preserve"> </w:t>
      </w:r>
      <w:r w:rsidRPr="00755D5D">
        <w:rPr>
          <w:rFonts w:cstheme="minorHAnsi"/>
        </w:rPr>
        <w:t>21 Ma and 202</w:t>
      </w:r>
      <w:r w:rsidR="001979BF">
        <w:rPr>
          <w:rFonts w:cstheme="minorHAnsi"/>
        </w:rPr>
        <w:t xml:space="preserve"> </w:t>
      </w:r>
      <w:r w:rsidRPr="00755D5D">
        <w:rPr>
          <w:rFonts w:cstheme="minorHAnsi"/>
        </w:rPr>
        <w:t>±</w:t>
      </w:r>
      <w:r w:rsidR="001979BF">
        <w:rPr>
          <w:rFonts w:cstheme="minorHAnsi"/>
        </w:rPr>
        <w:t xml:space="preserve"> </w:t>
      </w:r>
      <w:r w:rsidRPr="00755D5D">
        <w:rPr>
          <w:rFonts w:cstheme="minorHAnsi"/>
        </w:rPr>
        <w:t>8 Ma</w:t>
      </w:r>
      <w:r>
        <w:rPr>
          <w:rFonts w:cstheme="minorHAnsi"/>
        </w:rPr>
        <w:t xml:space="preserve">, and as observed in the Pine Creek Orogen samples demonstrate no apparent intra-sample age variation with respect to composition. Confined track distributions are unimodal, and broadly symmetrical to negatively </w:t>
      </w:r>
      <w:proofErr w:type="gramStart"/>
      <w:r>
        <w:rPr>
          <w:rFonts w:cstheme="minorHAnsi"/>
        </w:rPr>
        <w:t>skewed</w:t>
      </w:r>
      <w:proofErr w:type="gramEnd"/>
      <w:r>
        <w:rPr>
          <w:rFonts w:cstheme="minorHAnsi"/>
        </w:rPr>
        <w:t xml:space="preserve"> in both the Pine Creek Orogen and Arnhem Province, however, MTLs are </w:t>
      </w:r>
      <w:r w:rsidR="003C7EAF">
        <w:rPr>
          <w:rFonts w:cstheme="minorHAnsi"/>
        </w:rPr>
        <w:t xml:space="preserve">biased </w:t>
      </w:r>
      <w:r w:rsidR="003C7EAF" w:rsidRPr="003C7EAF">
        <w:rPr>
          <w:rFonts w:cstheme="minorHAnsi"/>
          <w:i/>
        </w:rPr>
        <w:t>c</w:t>
      </w:r>
      <w:r w:rsidR="003C7EAF">
        <w:rPr>
          <w:rFonts w:cstheme="minorHAnsi"/>
        </w:rPr>
        <w:t xml:space="preserve">. </w:t>
      </w:r>
      <w:r w:rsidR="008C1154">
        <w:rPr>
          <w:rFonts w:cstheme="minorHAnsi"/>
        </w:rPr>
        <w:t xml:space="preserve">1 µm longer in the Arnhem Provence than in the Pine Creek Orogen. </w:t>
      </w:r>
    </w:p>
    <w:p w:rsidR="00F043F7" w:rsidRDefault="00992F9C" w:rsidP="001E6018">
      <w:pPr>
        <w:spacing w:line="480" w:lineRule="auto"/>
        <w:jc w:val="both"/>
      </w:pPr>
      <w:r>
        <w:t>Modelling was conducted using</w:t>
      </w:r>
      <w:r w:rsidR="00E15D4A" w:rsidRPr="00E87BEA">
        <w:t xml:space="preserve"> </w:t>
      </w:r>
      <w:proofErr w:type="spellStart"/>
      <w:r w:rsidR="00E15D4A" w:rsidRPr="00E87BEA">
        <w:t>QTQt</w:t>
      </w:r>
      <w:proofErr w:type="spellEnd"/>
      <w:r w:rsidR="00E15D4A" w:rsidRPr="00E87BEA">
        <w:t xml:space="preserve"> software </w:t>
      </w:r>
      <w:r w:rsidR="00E15D4A" w:rsidRPr="00E87BEA">
        <w:rPr>
          <w:noProof/>
        </w:rPr>
        <w:t>(Gallagher, 2012)</w:t>
      </w:r>
      <w:r w:rsidR="00E15D4A" w:rsidRPr="00E87BEA">
        <w:t>, using inputs of AFT single grain age, confined tracks, and</w:t>
      </w:r>
      <w:r w:rsidR="00DD0C9A">
        <w:t xml:space="preserve"> a</w:t>
      </w:r>
      <w:r w:rsidR="00E15D4A" w:rsidRPr="00E87BEA">
        <w:t xml:space="preserve"> kinetic parameter of r</w:t>
      </w:r>
      <w:r w:rsidR="00E15D4A" w:rsidRPr="00E87BEA">
        <w:rPr>
          <w:vertAlign w:val="subscript"/>
        </w:rPr>
        <w:t>mr0</w:t>
      </w:r>
      <w:r w:rsidR="00E15D4A" w:rsidRPr="00E87BEA">
        <w:rPr>
          <w:vertAlign w:val="superscript"/>
        </w:rPr>
        <w:t xml:space="preserve"> </w:t>
      </w:r>
      <w:r w:rsidR="00E40175">
        <w:rPr>
          <w:noProof/>
        </w:rPr>
        <w:t>(Carlson, Donelick</w:t>
      </w:r>
      <w:r w:rsidR="00A20C74">
        <w:rPr>
          <w:noProof/>
        </w:rPr>
        <w:t xml:space="preserve"> &amp; Ketcham</w:t>
      </w:r>
      <w:r w:rsidR="00E15D4A" w:rsidRPr="00E87BEA">
        <w:rPr>
          <w:noProof/>
        </w:rPr>
        <w:t xml:space="preserve"> 1999)</w:t>
      </w:r>
      <w:r w:rsidR="00DD0C9A">
        <w:rPr>
          <w:noProof/>
        </w:rPr>
        <w:t>.</w:t>
      </w:r>
      <w:r w:rsidR="00DD0C9A">
        <w:t xml:space="preserve"> S</w:t>
      </w:r>
      <w:r w:rsidR="00E15D4A" w:rsidRPr="00E87BEA">
        <w:t>amples</w:t>
      </w:r>
      <w:r w:rsidR="00DD0C9A">
        <w:t xml:space="preserve"> </w:t>
      </w:r>
      <w:r w:rsidR="00E15D4A" w:rsidRPr="00E87BEA">
        <w:t xml:space="preserve">CS-1, </w:t>
      </w:r>
    </w:p>
    <w:p w:rsidR="00F043F7" w:rsidRDefault="00D95931" w:rsidP="001E6018">
      <w:pPr>
        <w:spacing w:line="480" w:lineRule="auto"/>
        <w:jc w:val="both"/>
      </w:pPr>
      <w:r>
        <w:rPr>
          <w:noProof/>
          <w:lang w:eastAsia="en-AU"/>
        </w:rPr>
        <w:lastRenderedPageBreak/>
        <w:drawing>
          <wp:anchor distT="0" distB="0" distL="114300" distR="114300" simplePos="0" relativeHeight="251666432" behindDoc="1" locked="0" layoutInCell="1" allowOverlap="1">
            <wp:simplePos x="0" y="0"/>
            <wp:positionH relativeFrom="margin">
              <wp:align>center</wp:align>
            </wp:positionH>
            <wp:positionV relativeFrom="paragraph">
              <wp:posOffset>0</wp:posOffset>
            </wp:positionV>
            <wp:extent cx="6278245" cy="8115300"/>
            <wp:effectExtent l="0" t="0" r="8255" b="0"/>
            <wp:wrapTight wrapText="bothSides">
              <wp:wrapPolygon edited="0">
                <wp:start x="131" y="0"/>
                <wp:lineTo x="0" y="608"/>
                <wp:lineTo x="0" y="21549"/>
                <wp:lineTo x="21563" y="21549"/>
                <wp:lineTo x="21563" y="558"/>
                <wp:lineTo x="6554" y="0"/>
                <wp:lineTo x="131"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adial Plots panel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78245" cy="8115300"/>
                    </a:xfrm>
                    <a:prstGeom prst="rect">
                      <a:avLst/>
                    </a:prstGeom>
                  </pic:spPr>
                </pic:pic>
              </a:graphicData>
            </a:graphic>
            <wp14:sizeRelH relativeFrom="margin">
              <wp14:pctWidth>0</wp14:pctWidth>
            </wp14:sizeRelH>
            <wp14:sizeRelV relativeFrom="margin">
              <wp14:pctHeight>0</wp14:pctHeight>
            </wp14:sizeRelV>
          </wp:anchor>
        </w:drawing>
      </w:r>
    </w:p>
    <w:p w:rsidR="00F043F7" w:rsidRDefault="00F043F7" w:rsidP="001E6018">
      <w:pPr>
        <w:spacing w:line="480" w:lineRule="auto"/>
        <w:jc w:val="both"/>
      </w:pPr>
    </w:p>
    <w:p w:rsidR="00D95931" w:rsidRDefault="00D95931" w:rsidP="00D95931">
      <w:pPr>
        <w:spacing w:line="480" w:lineRule="auto"/>
        <w:jc w:val="both"/>
        <w:rPr>
          <w:b/>
          <w:sz w:val="20"/>
        </w:rPr>
      </w:pPr>
      <w:r>
        <w:rPr>
          <w:b/>
          <w:noProof/>
          <w:sz w:val="20"/>
          <w:lang w:eastAsia="en-AU"/>
        </w:rPr>
        <w:lastRenderedPageBreak/>
        <w:drawing>
          <wp:anchor distT="0" distB="0" distL="114300" distR="114300" simplePos="0" relativeHeight="251667456" behindDoc="1" locked="0" layoutInCell="1" allowOverlap="1">
            <wp:simplePos x="0" y="0"/>
            <wp:positionH relativeFrom="margin">
              <wp:align>center</wp:align>
            </wp:positionH>
            <wp:positionV relativeFrom="paragraph">
              <wp:posOffset>0</wp:posOffset>
            </wp:positionV>
            <wp:extent cx="6143625" cy="4845685"/>
            <wp:effectExtent l="0" t="0" r="9525" b="0"/>
            <wp:wrapTight wrapText="bothSides">
              <wp:wrapPolygon edited="0">
                <wp:start x="201" y="0"/>
                <wp:lineTo x="0" y="1019"/>
                <wp:lineTo x="0" y="21484"/>
                <wp:lineTo x="21567" y="21484"/>
                <wp:lineTo x="21567" y="934"/>
                <wp:lineTo x="6095" y="0"/>
                <wp:lineTo x="201"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adial Plots panel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43625" cy="4845685"/>
                    </a:xfrm>
                    <a:prstGeom prst="rect">
                      <a:avLst/>
                    </a:prstGeom>
                  </pic:spPr>
                </pic:pic>
              </a:graphicData>
            </a:graphic>
            <wp14:sizeRelH relativeFrom="margin">
              <wp14:pctWidth>0</wp14:pctWidth>
            </wp14:sizeRelH>
            <wp14:sizeRelV relativeFrom="margin">
              <wp14:pctHeight>0</wp14:pctHeight>
            </wp14:sizeRelV>
          </wp:anchor>
        </w:drawing>
      </w:r>
    </w:p>
    <w:p w:rsidR="00D95931" w:rsidRPr="00DD0C9A" w:rsidRDefault="00D95931" w:rsidP="00D95931">
      <w:pPr>
        <w:spacing w:line="480" w:lineRule="auto"/>
        <w:jc w:val="both"/>
        <w:rPr>
          <w:sz w:val="20"/>
        </w:rPr>
      </w:pPr>
      <w:r w:rsidRPr="00DD0C9A">
        <w:rPr>
          <w:b/>
          <w:sz w:val="20"/>
        </w:rPr>
        <w:t>Fig. S6</w:t>
      </w:r>
      <w:r w:rsidR="00A95F33">
        <w:rPr>
          <w:b/>
          <w:sz w:val="20"/>
        </w:rPr>
        <w:t>.</w:t>
      </w:r>
      <w:r w:rsidRPr="00DD0C9A">
        <w:rPr>
          <w:sz w:val="20"/>
        </w:rPr>
        <w:t xml:space="preserve"> Radial plots of AFT ages and confined track length histograms for Pine Creek Orogen and Arnhem Province samples. Radial plot ages are coloured by single-grain effective Cl composition, calculated from single-grain r</w:t>
      </w:r>
      <w:r w:rsidRPr="00DD0C9A">
        <w:rPr>
          <w:sz w:val="20"/>
          <w:vertAlign w:val="subscript"/>
        </w:rPr>
        <w:t>mr0</w:t>
      </w:r>
      <w:r w:rsidRPr="00DD0C9A">
        <w:rPr>
          <w:sz w:val="20"/>
        </w:rPr>
        <w:t xml:space="preserve"> as outlined in </w:t>
      </w:r>
      <w:proofErr w:type="spellStart"/>
      <w:r w:rsidRPr="00DD0C9A">
        <w:rPr>
          <w:sz w:val="20"/>
        </w:rPr>
        <w:t>Ketcham</w:t>
      </w:r>
      <w:proofErr w:type="spellEnd"/>
      <w:r w:rsidRPr="00DD0C9A">
        <w:rPr>
          <w:sz w:val="20"/>
        </w:rPr>
        <w:t xml:space="preserve"> </w:t>
      </w:r>
      <w:r w:rsidRPr="0095276D">
        <w:rPr>
          <w:i/>
          <w:sz w:val="20"/>
        </w:rPr>
        <w:t>et al</w:t>
      </w:r>
      <w:r w:rsidRPr="00DD0C9A">
        <w:rPr>
          <w:sz w:val="20"/>
        </w:rPr>
        <w:t>. (1999).  Ages are calculated usi</w:t>
      </w:r>
      <w:r w:rsidR="00741709">
        <w:rPr>
          <w:sz w:val="20"/>
        </w:rPr>
        <w:t xml:space="preserve">ng </w:t>
      </w:r>
      <w:proofErr w:type="spellStart"/>
      <w:r w:rsidR="00741709">
        <w:rPr>
          <w:sz w:val="20"/>
        </w:rPr>
        <w:t>IsoplotR</w:t>
      </w:r>
      <w:proofErr w:type="spellEnd"/>
      <w:r w:rsidR="00741709">
        <w:rPr>
          <w:sz w:val="20"/>
        </w:rPr>
        <w:t xml:space="preserve"> software (Vermeesch</w:t>
      </w:r>
      <w:r w:rsidRPr="00DD0C9A">
        <w:rPr>
          <w:sz w:val="20"/>
        </w:rPr>
        <w:t xml:space="preserve"> 2018), using the fission track radial plot function, in which more precise ages are given higher weighting to the population age. A central age has been calculated for all samples, which returns the weighted age for all grains in the population, while for samples which display P(χ</w:t>
      </w:r>
      <w:r w:rsidRPr="00DD0C9A">
        <w:rPr>
          <w:sz w:val="20"/>
          <w:vertAlign w:val="superscript"/>
        </w:rPr>
        <w:t>2</w:t>
      </w:r>
      <w:r w:rsidRPr="00DD0C9A">
        <w:rPr>
          <w:sz w:val="20"/>
        </w:rPr>
        <w:t>) &lt; 0.05 and dispersion &gt; 15% two ‘peak’ ages have also been calculated, which reflect mean ages of discrete statistically identified populations within the sample. In samples with only a single statistically identified population, the peak age is equal to the central age. No samples, however, exhibit significant open-jaw charac</w:t>
      </w:r>
      <w:r w:rsidR="00741709">
        <w:rPr>
          <w:sz w:val="20"/>
        </w:rPr>
        <w:t>teristics (O'Sullivan &amp; Parrish</w:t>
      </w:r>
      <w:r w:rsidRPr="00DD0C9A">
        <w:rPr>
          <w:sz w:val="20"/>
        </w:rPr>
        <w:t xml:space="preserve"> 1995) which suggests the presence of multiple statistical age populations may reflect </w:t>
      </w:r>
      <w:proofErr w:type="spellStart"/>
      <w:r w:rsidRPr="00DD0C9A">
        <w:rPr>
          <w:sz w:val="20"/>
        </w:rPr>
        <w:t>overdispersion</w:t>
      </w:r>
      <w:proofErr w:type="spellEnd"/>
      <w:r w:rsidRPr="00DD0C9A">
        <w:rPr>
          <w:sz w:val="20"/>
        </w:rPr>
        <w:t xml:space="preserve"> of ages rather than multiple</w:t>
      </w:r>
      <w:r w:rsidR="00AE63F3">
        <w:rPr>
          <w:sz w:val="20"/>
        </w:rPr>
        <w:t xml:space="preserve"> true</w:t>
      </w:r>
      <w:r w:rsidRPr="00DD0C9A">
        <w:rPr>
          <w:sz w:val="20"/>
        </w:rPr>
        <w:t xml:space="preserve"> age populations, hence the central age has been quoted as the preferred AFT sample age. Each radial plot is accompanied by confined track length histograms of the same sample. MTL = the mean confined track length of that sample. All errors for radial plots and length histograms are given as 1</w:t>
      </w:r>
      <w:r w:rsidRPr="00DD0C9A">
        <w:rPr>
          <w:rFonts w:cstheme="minorHAnsi"/>
          <w:sz w:val="20"/>
        </w:rPr>
        <w:t>σ</w:t>
      </w:r>
      <w:r w:rsidRPr="00DD0C9A">
        <w:rPr>
          <w:sz w:val="20"/>
        </w:rPr>
        <w:t xml:space="preserve">. </w:t>
      </w:r>
    </w:p>
    <w:p w:rsidR="00F043F7" w:rsidRDefault="00E54B16" w:rsidP="001E6018">
      <w:pPr>
        <w:spacing w:line="480" w:lineRule="auto"/>
        <w:jc w:val="both"/>
      </w:pPr>
      <w:r>
        <w:rPr>
          <w:noProof/>
          <w:lang w:eastAsia="en-AU"/>
        </w:rPr>
        <w:lastRenderedPageBreak/>
        <w:drawing>
          <wp:anchor distT="0" distB="0" distL="114300" distR="114300" simplePos="0" relativeHeight="251668480" behindDoc="1" locked="0" layoutInCell="1" allowOverlap="1">
            <wp:simplePos x="0" y="0"/>
            <wp:positionH relativeFrom="column">
              <wp:posOffset>0</wp:posOffset>
            </wp:positionH>
            <wp:positionV relativeFrom="paragraph">
              <wp:posOffset>0</wp:posOffset>
            </wp:positionV>
            <wp:extent cx="5731510" cy="8247380"/>
            <wp:effectExtent l="0" t="0" r="2540" b="1270"/>
            <wp:wrapTight wrapText="bothSides">
              <wp:wrapPolygon edited="0">
                <wp:start x="0" y="0"/>
                <wp:lineTo x="0" y="21553"/>
                <wp:lineTo x="21538" y="21553"/>
                <wp:lineTo x="2153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QTQt models_1_v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8247380"/>
                    </a:xfrm>
                    <a:prstGeom prst="rect">
                      <a:avLst/>
                    </a:prstGeom>
                  </pic:spPr>
                </pic:pic>
              </a:graphicData>
            </a:graphic>
          </wp:anchor>
        </w:drawing>
      </w:r>
    </w:p>
    <w:p w:rsidR="00F043F7" w:rsidRDefault="00E54B16" w:rsidP="001E6018">
      <w:pPr>
        <w:spacing w:line="480" w:lineRule="auto"/>
        <w:jc w:val="both"/>
      </w:pPr>
      <w:r>
        <w:rPr>
          <w:noProof/>
          <w:lang w:eastAsia="en-AU"/>
        </w:rPr>
        <w:lastRenderedPageBreak/>
        <w:drawing>
          <wp:anchor distT="0" distB="0" distL="114300" distR="114300" simplePos="0" relativeHeight="251670528" behindDoc="1" locked="0" layoutInCell="1" allowOverlap="1">
            <wp:simplePos x="0" y="0"/>
            <wp:positionH relativeFrom="column">
              <wp:posOffset>0</wp:posOffset>
            </wp:positionH>
            <wp:positionV relativeFrom="paragraph">
              <wp:posOffset>0</wp:posOffset>
            </wp:positionV>
            <wp:extent cx="5731510" cy="8199755"/>
            <wp:effectExtent l="0" t="0" r="2540" b="0"/>
            <wp:wrapTight wrapText="bothSides">
              <wp:wrapPolygon edited="0">
                <wp:start x="0" y="0"/>
                <wp:lineTo x="0" y="21528"/>
                <wp:lineTo x="21538" y="21528"/>
                <wp:lineTo x="2153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QTQt models_2_v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8199755"/>
                    </a:xfrm>
                    <a:prstGeom prst="rect">
                      <a:avLst/>
                    </a:prstGeom>
                  </pic:spPr>
                </pic:pic>
              </a:graphicData>
            </a:graphic>
          </wp:anchor>
        </w:drawing>
      </w:r>
    </w:p>
    <w:p w:rsidR="00F043F7" w:rsidRDefault="00F043F7" w:rsidP="001E6018">
      <w:pPr>
        <w:spacing w:line="480" w:lineRule="auto"/>
        <w:jc w:val="both"/>
      </w:pPr>
    </w:p>
    <w:p w:rsidR="00F043F7" w:rsidRDefault="00E54B16" w:rsidP="001E6018">
      <w:pPr>
        <w:spacing w:line="480" w:lineRule="auto"/>
        <w:jc w:val="both"/>
      </w:pPr>
      <w:r>
        <w:rPr>
          <w:noProof/>
          <w:lang w:eastAsia="en-AU"/>
        </w:rPr>
        <w:lastRenderedPageBreak/>
        <w:drawing>
          <wp:anchor distT="0" distB="0" distL="114300" distR="114300" simplePos="0" relativeHeight="251669504" behindDoc="1" locked="0" layoutInCell="1" allowOverlap="1">
            <wp:simplePos x="0" y="0"/>
            <wp:positionH relativeFrom="column">
              <wp:posOffset>0</wp:posOffset>
            </wp:positionH>
            <wp:positionV relativeFrom="paragraph">
              <wp:posOffset>0</wp:posOffset>
            </wp:positionV>
            <wp:extent cx="5731510" cy="8235950"/>
            <wp:effectExtent l="0" t="0" r="2540" b="0"/>
            <wp:wrapTight wrapText="bothSides">
              <wp:wrapPolygon edited="0">
                <wp:start x="0" y="0"/>
                <wp:lineTo x="0" y="21533"/>
                <wp:lineTo x="21538" y="21533"/>
                <wp:lineTo x="2153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QTQt models_3_v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8235950"/>
                    </a:xfrm>
                    <a:prstGeom prst="rect">
                      <a:avLst/>
                    </a:prstGeom>
                  </pic:spPr>
                </pic:pic>
              </a:graphicData>
            </a:graphic>
          </wp:anchor>
        </w:drawing>
      </w:r>
    </w:p>
    <w:p w:rsidR="00F043F7" w:rsidRPr="00A95F33" w:rsidRDefault="00E54B16" w:rsidP="00BD0A25">
      <w:pPr>
        <w:rPr>
          <w:b/>
          <w:sz w:val="20"/>
        </w:rPr>
      </w:pPr>
      <w:r>
        <w:rPr>
          <w:noProof/>
          <w:lang w:eastAsia="en-AU"/>
        </w:rPr>
        <w:lastRenderedPageBreak/>
        <w:drawing>
          <wp:anchor distT="0" distB="0" distL="114300" distR="114300" simplePos="0" relativeHeight="251671552" behindDoc="1" locked="0" layoutInCell="1" allowOverlap="1">
            <wp:simplePos x="0" y="0"/>
            <wp:positionH relativeFrom="margin">
              <wp:align>right</wp:align>
            </wp:positionH>
            <wp:positionV relativeFrom="paragraph">
              <wp:posOffset>0</wp:posOffset>
            </wp:positionV>
            <wp:extent cx="5731510" cy="6167755"/>
            <wp:effectExtent l="0" t="0" r="2540" b="4445"/>
            <wp:wrapTight wrapText="bothSides">
              <wp:wrapPolygon edited="0">
                <wp:start x="0" y="0"/>
                <wp:lineTo x="0" y="21549"/>
                <wp:lineTo x="21538" y="21549"/>
                <wp:lineTo x="2153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QTQt models_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6167755"/>
                    </a:xfrm>
                    <a:prstGeom prst="rect">
                      <a:avLst/>
                    </a:prstGeom>
                  </pic:spPr>
                </pic:pic>
              </a:graphicData>
            </a:graphic>
          </wp:anchor>
        </w:drawing>
      </w:r>
      <w:r w:rsidRPr="00DD0C9A">
        <w:rPr>
          <w:b/>
          <w:sz w:val="20"/>
        </w:rPr>
        <w:t>Fig. S7</w:t>
      </w:r>
      <w:r w:rsidR="00A95F33">
        <w:rPr>
          <w:b/>
          <w:sz w:val="20"/>
        </w:rPr>
        <w:t xml:space="preserve">. </w:t>
      </w:r>
      <w:r w:rsidRPr="00DD0C9A">
        <w:rPr>
          <w:rFonts w:ascii="Calibri" w:hAnsi="Calibri" w:cs="Calibri"/>
          <w:noProof/>
          <w:sz w:val="20"/>
          <w:lang w:val="en-US"/>
        </w:rPr>
        <w:t>Thermal history ‘expected’ model outputs and associ</w:t>
      </w:r>
      <w:r w:rsidR="00AE63F3">
        <w:rPr>
          <w:rFonts w:ascii="Calibri" w:hAnsi="Calibri" w:cs="Calibri"/>
          <w:noProof/>
          <w:sz w:val="20"/>
          <w:lang w:val="en-US"/>
        </w:rPr>
        <w:t>ated model residuals for all mod</w:t>
      </w:r>
      <w:r w:rsidRPr="00DD0C9A">
        <w:rPr>
          <w:rFonts w:ascii="Calibri" w:hAnsi="Calibri" w:cs="Calibri"/>
          <w:noProof/>
          <w:sz w:val="20"/>
          <w:lang w:val="en-US"/>
        </w:rPr>
        <w:t>elled Pine Creek Orogen and Arn</w:t>
      </w:r>
      <w:r w:rsidR="00741709">
        <w:rPr>
          <w:rFonts w:ascii="Calibri" w:hAnsi="Calibri" w:cs="Calibri"/>
          <w:noProof/>
          <w:sz w:val="20"/>
          <w:lang w:val="en-US"/>
        </w:rPr>
        <w:t>hem Province samples (Gallagher</w:t>
      </w:r>
      <w:r w:rsidRPr="00DD0C9A">
        <w:rPr>
          <w:rFonts w:ascii="Calibri" w:hAnsi="Calibri" w:cs="Calibri"/>
          <w:noProof/>
          <w:sz w:val="20"/>
          <w:lang w:val="en-US"/>
        </w:rPr>
        <w:t xml:space="preserve"> 2012). Samples were modelled using r</w:t>
      </w:r>
      <w:r w:rsidRPr="00DD0C9A">
        <w:rPr>
          <w:rFonts w:ascii="Calibri" w:hAnsi="Calibri" w:cs="Calibri"/>
          <w:noProof/>
          <w:sz w:val="20"/>
          <w:vertAlign w:val="subscript"/>
          <w:lang w:val="en-US"/>
        </w:rPr>
        <w:t>mr0</w:t>
      </w:r>
      <w:r w:rsidRPr="00DD0C9A">
        <w:rPr>
          <w:rFonts w:ascii="Calibri" w:hAnsi="Calibri" w:cs="Calibri"/>
          <w:noProof/>
          <w:sz w:val="20"/>
          <w:lang w:val="en-US"/>
        </w:rPr>
        <w:t xml:space="preserve"> as the kinetic parameter, and inputs of AFT single-grain ages and confined tracks. Samples CS-1, CS-4 and CS-8 addiitonally were modeled using AHe data. Thermal history model input and rational is provded in Table S3. </w:t>
      </w:r>
      <w:r w:rsidRPr="00DD0C9A">
        <w:rPr>
          <w:rFonts w:ascii="Calibri" w:hAnsi="Calibri" w:cs="Calibri"/>
          <w:noProof/>
          <w:sz w:val="20"/>
          <w:lang w:val="en-US"/>
        </w:rPr>
        <w:fldChar w:fldCharType="begin"/>
      </w:r>
      <w:r w:rsidRPr="00DD0C9A">
        <w:rPr>
          <w:sz w:val="20"/>
        </w:rPr>
        <w:instrText xml:space="preserve"> ADDIN EN.REFLIST </w:instrText>
      </w:r>
      <w:r w:rsidRPr="00DD0C9A">
        <w:rPr>
          <w:rFonts w:ascii="Calibri" w:hAnsi="Calibri" w:cs="Calibri"/>
          <w:noProof/>
          <w:sz w:val="20"/>
          <w:lang w:val="en-US"/>
        </w:rPr>
        <w:fldChar w:fldCharType="end"/>
      </w:r>
    </w:p>
    <w:p w:rsidR="00E15D4A" w:rsidRDefault="00E15D4A" w:rsidP="001E6018">
      <w:pPr>
        <w:spacing w:line="480" w:lineRule="auto"/>
        <w:jc w:val="both"/>
      </w:pPr>
      <w:r w:rsidRPr="00E87BEA">
        <w:t xml:space="preserve">CS-4 and CS-8 were modelled with additional </w:t>
      </w:r>
      <w:proofErr w:type="spellStart"/>
      <w:r w:rsidRPr="00E87BEA">
        <w:t>AHe</w:t>
      </w:r>
      <w:proofErr w:type="spellEnd"/>
      <w:r w:rsidRPr="00E87BEA">
        <w:t xml:space="preserve"> data. Modelling inputs are provided in Table S3 and individual sample model outputs shown in Fig. S7. </w:t>
      </w:r>
      <w:r w:rsidR="00AC0D5A">
        <w:t xml:space="preserve">Both Pine Creek Orogen and </w:t>
      </w:r>
      <w:r w:rsidRPr="00E87BEA">
        <w:t xml:space="preserve">Arnhem Province samples </w:t>
      </w:r>
      <w:r w:rsidR="00AC0D5A">
        <w:t>display</w:t>
      </w:r>
      <w:r w:rsidRPr="00E87BEA">
        <w:t xml:space="preserve"> good agreement between ‘observed’ and ‘predicted’ ages and MTLs, and are all considered reliable models. </w:t>
      </w:r>
    </w:p>
    <w:p w:rsidR="00B26540" w:rsidRPr="00E87BEA" w:rsidRDefault="00B26540" w:rsidP="001E6018">
      <w:pPr>
        <w:spacing w:line="480" w:lineRule="auto"/>
        <w:jc w:val="both"/>
      </w:pPr>
    </w:p>
    <w:p w:rsidR="00E15D4A" w:rsidRDefault="00466334" w:rsidP="001E6018">
      <w:pPr>
        <w:spacing w:line="480" w:lineRule="auto"/>
        <w:jc w:val="both"/>
        <w:rPr>
          <w:b/>
          <w:i/>
        </w:rPr>
      </w:pPr>
      <w:r>
        <w:rPr>
          <w:b/>
          <w:i/>
        </w:rPr>
        <w:lastRenderedPageBreak/>
        <w:t>Pine Creek Orogen REE</w:t>
      </w:r>
    </w:p>
    <w:p w:rsidR="00E40175" w:rsidRPr="0091660D" w:rsidRDefault="00E40175" w:rsidP="001E6018">
      <w:pPr>
        <w:spacing w:line="480" w:lineRule="auto"/>
        <w:jc w:val="both"/>
      </w:pPr>
      <w:r>
        <w:rPr>
          <w:noProof/>
          <w:lang w:eastAsia="en-AU"/>
        </w:rPr>
        <w:drawing>
          <wp:anchor distT="0" distB="0" distL="114300" distR="114300" simplePos="0" relativeHeight="251672576" behindDoc="0" locked="0" layoutInCell="1" allowOverlap="1">
            <wp:simplePos x="0" y="0"/>
            <wp:positionH relativeFrom="margin">
              <wp:align>left</wp:align>
            </wp:positionH>
            <wp:positionV relativeFrom="paragraph">
              <wp:posOffset>2672080</wp:posOffset>
            </wp:positionV>
            <wp:extent cx="5414010" cy="40671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O2 vs La-S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14010" cy="4067175"/>
                    </a:xfrm>
                    <a:prstGeom prst="rect">
                      <a:avLst/>
                    </a:prstGeom>
                  </pic:spPr>
                </pic:pic>
              </a:graphicData>
            </a:graphic>
            <wp14:sizeRelH relativeFrom="margin">
              <wp14:pctWidth>0</wp14:pctWidth>
            </wp14:sizeRelH>
            <wp14:sizeRelV relativeFrom="margin">
              <wp14:pctHeight>0</wp14:pctHeight>
            </wp14:sizeRelV>
          </wp:anchor>
        </w:drawing>
      </w:r>
      <w:r w:rsidR="00466334">
        <w:t xml:space="preserve">Depletion of LREE elements in apatite crystals from granitic samples from the Cullen </w:t>
      </w:r>
      <w:proofErr w:type="spellStart"/>
      <w:r w:rsidR="00466334">
        <w:t>Supersuite</w:t>
      </w:r>
      <w:proofErr w:type="spellEnd"/>
      <w:r w:rsidR="00466334">
        <w:t xml:space="preserve"> is observed proximal to the Pine Creek Shear-Zone, as expressed </w:t>
      </w:r>
      <w:r w:rsidR="00474410">
        <w:t xml:space="preserve">in a marked decrease in primitive mantle normalised La/Sm ratios </w:t>
      </w:r>
      <w:r w:rsidR="00B67E07">
        <w:t>(</w:t>
      </w:r>
      <w:r w:rsidR="00B67E07" w:rsidRPr="000A2606">
        <w:rPr>
          <w:rFonts w:cstheme="minorHAnsi"/>
        </w:rPr>
        <w:t xml:space="preserve">McDonough </w:t>
      </w:r>
      <w:r w:rsidR="00B67E07">
        <w:rPr>
          <w:rFonts w:cstheme="minorHAnsi"/>
        </w:rPr>
        <w:t xml:space="preserve">&amp; </w:t>
      </w:r>
      <w:r w:rsidR="00B67E07" w:rsidRPr="000A2606">
        <w:rPr>
          <w:rFonts w:cstheme="minorHAnsi"/>
        </w:rPr>
        <w:t>Sun</w:t>
      </w:r>
      <w:r w:rsidR="00B67E07">
        <w:rPr>
          <w:rFonts w:cstheme="minorHAnsi"/>
        </w:rPr>
        <w:t xml:space="preserve"> 1</w:t>
      </w:r>
      <w:r w:rsidR="00B67E07" w:rsidRPr="000A2606">
        <w:rPr>
          <w:rFonts w:cstheme="minorHAnsi"/>
        </w:rPr>
        <w:t>995)</w:t>
      </w:r>
      <w:r w:rsidR="00B67E07">
        <w:rPr>
          <w:rFonts w:cstheme="minorHAnsi"/>
        </w:rPr>
        <w:t xml:space="preserve"> </w:t>
      </w:r>
      <w:r w:rsidR="00474410">
        <w:t xml:space="preserve">towards the shear-zone. This </w:t>
      </w:r>
      <w:r w:rsidR="0091660D">
        <w:t>trend does not appear to be linked to SiO</w:t>
      </w:r>
      <w:r w:rsidR="0091660D">
        <w:rPr>
          <w:vertAlign w:val="subscript"/>
        </w:rPr>
        <w:t>2</w:t>
      </w:r>
      <w:r w:rsidR="0091660D">
        <w:t xml:space="preserve"> content of </w:t>
      </w:r>
      <w:r>
        <w:t xml:space="preserve">sampled rocks (Fig. S8), which supports a process of fluid-rock interaction as responsible for LREE depletion in recrystallised apatite due to competition from coeval growth of epidote (Glorie </w:t>
      </w:r>
      <w:r w:rsidRPr="00E40175">
        <w:rPr>
          <w:i/>
        </w:rPr>
        <w:t>et al</w:t>
      </w:r>
      <w:r>
        <w:t xml:space="preserve">. 2019). While no direct petrology exists for samples analysed in this study, </w:t>
      </w:r>
      <w:proofErr w:type="spellStart"/>
      <w:r>
        <w:t>metasomatism</w:t>
      </w:r>
      <w:proofErr w:type="spellEnd"/>
      <w:r>
        <w:t xml:space="preserve"> and fluid alteration of </w:t>
      </w:r>
      <w:proofErr w:type="spellStart"/>
      <w:r>
        <w:t>granitiods</w:t>
      </w:r>
      <w:proofErr w:type="spellEnd"/>
      <w:r>
        <w:t xml:space="preserve"> is common within the Pine Creek Orogen (Stuart-Smith </w:t>
      </w:r>
      <w:r w:rsidRPr="00E40175">
        <w:rPr>
          <w:i/>
        </w:rPr>
        <w:t>et al</w:t>
      </w:r>
      <w:r>
        <w:t xml:space="preserve">. 1993). </w:t>
      </w:r>
    </w:p>
    <w:p w:rsidR="00466334" w:rsidRPr="00466334" w:rsidRDefault="00B67E07" w:rsidP="001E6018">
      <w:pPr>
        <w:spacing w:line="480" w:lineRule="auto"/>
        <w:jc w:val="both"/>
      </w:pPr>
      <w:r>
        <w:rPr>
          <w:b/>
          <w:sz w:val="20"/>
        </w:rPr>
        <w:t>Fig. S8.</w:t>
      </w:r>
      <w:r w:rsidRPr="00DD0C9A">
        <w:rPr>
          <w:sz w:val="20"/>
        </w:rPr>
        <w:t xml:space="preserve"> </w:t>
      </w:r>
      <w:r>
        <w:rPr>
          <w:sz w:val="20"/>
        </w:rPr>
        <w:t xml:space="preserve">Comparison of average mantle normalised La/Sm ratios </w:t>
      </w:r>
      <w:r w:rsidRPr="00B67E07">
        <w:rPr>
          <w:sz w:val="20"/>
        </w:rPr>
        <w:t xml:space="preserve">(McDonough &amp; Sun 1995) </w:t>
      </w:r>
      <w:r>
        <w:rPr>
          <w:sz w:val="20"/>
        </w:rPr>
        <w:t xml:space="preserve">of apatite crystals from </w:t>
      </w:r>
      <w:proofErr w:type="spellStart"/>
      <w:r>
        <w:rPr>
          <w:sz w:val="20"/>
        </w:rPr>
        <w:t>granitiods</w:t>
      </w:r>
      <w:proofErr w:type="spellEnd"/>
      <w:r>
        <w:rPr>
          <w:sz w:val="20"/>
        </w:rPr>
        <w:t xml:space="preserve"> from the Pine Creek Orogen with whole rock SiO</w:t>
      </w:r>
      <w:r>
        <w:rPr>
          <w:sz w:val="20"/>
          <w:vertAlign w:val="subscript"/>
        </w:rPr>
        <w:t>2</w:t>
      </w:r>
      <w:r>
        <w:rPr>
          <w:sz w:val="20"/>
        </w:rPr>
        <w:t xml:space="preserve"> content of respective units. </w:t>
      </w:r>
      <w:r w:rsidR="00906AA6">
        <w:rPr>
          <w:sz w:val="20"/>
        </w:rPr>
        <w:t>Whole rock SiO</w:t>
      </w:r>
      <w:r w:rsidR="00906AA6">
        <w:rPr>
          <w:sz w:val="20"/>
          <w:vertAlign w:val="subscript"/>
        </w:rPr>
        <w:t>2</w:t>
      </w:r>
      <w:r w:rsidR="00906AA6">
        <w:rPr>
          <w:sz w:val="20"/>
        </w:rPr>
        <w:t xml:space="preserve"> is plotted as average SiO</w:t>
      </w:r>
      <w:r w:rsidR="00906AA6">
        <w:rPr>
          <w:sz w:val="20"/>
          <w:vertAlign w:val="subscript"/>
        </w:rPr>
        <w:t>2</w:t>
      </w:r>
      <w:r w:rsidR="00906AA6">
        <w:rPr>
          <w:sz w:val="20"/>
        </w:rPr>
        <w:t xml:space="preserve"> content from each unit from data in Ahmad </w:t>
      </w:r>
      <w:r w:rsidR="00906AA6" w:rsidRPr="00BD0A25">
        <w:rPr>
          <w:i/>
          <w:sz w:val="20"/>
        </w:rPr>
        <w:t>et al</w:t>
      </w:r>
      <w:r w:rsidR="00906AA6">
        <w:rPr>
          <w:sz w:val="20"/>
        </w:rPr>
        <w:t xml:space="preserve">. (1993), Stuart-Smith </w:t>
      </w:r>
      <w:r w:rsidR="00906AA6" w:rsidRPr="00BD0A25">
        <w:rPr>
          <w:i/>
          <w:sz w:val="20"/>
        </w:rPr>
        <w:t>et al</w:t>
      </w:r>
      <w:r w:rsidR="00906AA6">
        <w:rPr>
          <w:sz w:val="20"/>
        </w:rPr>
        <w:t xml:space="preserve">. (1993) and Sheppard (1995). </w:t>
      </w:r>
    </w:p>
    <w:p w:rsidR="00B26540" w:rsidRPr="00B26540" w:rsidRDefault="00B26540" w:rsidP="001E6018">
      <w:pPr>
        <w:spacing w:line="480" w:lineRule="auto"/>
        <w:jc w:val="both"/>
        <w:rPr>
          <w:b/>
          <w:i/>
        </w:rPr>
      </w:pPr>
      <w:r w:rsidRPr="00B26540">
        <w:rPr>
          <w:b/>
          <w:i/>
        </w:rPr>
        <w:t>Arnhem Province REE</w:t>
      </w:r>
    </w:p>
    <w:p w:rsidR="00B26540" w:rsidRDefault="00B26540" w:rsidP="001E6018">
      <w:pPr>
        <w:spacing w:line="480" w:lineRule="auto"/>
        <w:jc w:val="both"/>
      </w:pPr>
      <w:r>
        <w:rPr>
          <w:noProof/>
          <w:lang w:eastAsia="en-AU"/>
        </w:rPr>
        <w:lastRenderedPageBreak/>
        <w:drawing>
          <wp:anchor distT="0" distB="0" distL="114300" distR="114300" simplePos="0" relativeHeight="251673600" behindDoc="0" locked="0" layoutInCell="1" allowOverlap="1">
            <wp:simplePos x="0" y="0"/>
            <wp:positionH relativeFrom="margin">
              <wp:align>center</wp:align>
            </wp:positionH>
            <wp:positionV relativeFrom="paragraph">
              <wp:posOffset>2619375</wp:posOffset>
            </wp:positionV>
            <wp:extent cx="5461000" cy="4010025"/>
            <wp:effectExtent l="0" t="0" r="635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rnhem_geochem_v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61000" cy="401002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rPr>
        <w:t xml:space="preserve">Apatite crystals from </w:t>
      </w:r>
      <w:r w:rsidRPr="000A2606">
        <w:rPr>
          <w:rFonts w:cstheme="minorHAnsi"/>
        </w:rPr>
        <w:t xml:space="preserve">Arnhem Province samples yield broadly flat to negative normalised REE trends (Fig. </w:t>
      </w:r>
      <w:r>
        <w:rPr>
          <w:rFonts w:cstheme="minorHAnsi"/>
        </w:rPr>
        <w:t>S9</w:t>
      </w:r>
      <w:r w:rsidRPr="000A2606">
        <w:rPr>
          <w:rFonts w:cstheme="minorHAnsi"/>
        </w:rPr>
        <w:t xml:space="preserve">), where the primary differentiation between samples is evident in REE abundance. Sample GV14JAW183 from the Giddy Granite displays a comparative elevation in light rare earth elements (LREEs) with respect to other Arnhem Province samples. Sample GV15JAW261 from the Sir </w:t>
      </w:r>
      <w:proofErr w:type="spellStart"/>
      <w:r w:rsidRPr="000A2606">
        <w:rPr>
          <w:rFonts w:cstheme="minorHAnsi"/>
        </w:rPr>
        <w:t>Rodericks</w:t>
      </w:r>
      <w:proofErr w:type="spellEnd"/>
      <w:r w:rsidRPr="000A2606">
        <w:rPr>
          <w:rFonts w:cstheme="minorHAnsi"/>
        </w:rPr>
        <w:t xml:space="preserve"> </w:t>
      </w:r>
      <w:proofErr w:type="spellStart"/>
      <w:r w:rsidRPr="000A2606">
        <w:rPr>
          <w:rFonts w:cstheme="minorHAnsi"/>
        </w:rPr>
        <w:t>Metagabbro</w:t>
      </w:r>
      <w:proofErr w:type="spellEnd"/>
      <w:r w:rsidRPr="000A2606">
        <w:rPr>
          <w:rFonts w:cstheme="minorHAnsi"/>
        </w:rPr>
        <w:t xml:space="preserve"> exhibits a comparative depletion in mid (MREEs) and heavy rare earth elements (HREEs), while sample GV14SKR033 from the </w:t>
      </w:r>
      <w:proofErr w:type="spellStart"/>
      <w:r w:rsidRPr="000A2606">
        <w:rPr>
          <w:rFonts w:cstheme="minorHAnsi"/>
        </w:rPr>
        <w:t>Drimmie</w:t>
      </w:r>
      <w:proofErr w:type="spellEnd"/>
      <w:r w:rsidRPr="000A2606">
        <w:rPr>
          <w:rFonts w:cstheme="minorHAnsi"/>
        </w:rPr>
        <w:t xml:space="preserve"> Head Granite is depleted only in HREEs. Samples AB14JAW004, BM16JAW070 and GV14JAW182 yield comparatively similar REE abundances, and also exhibit the flattest average REE trends.</w:t>
      </w:r>
    </w:p>
    <w:p w:rsidR="00B26540" w:rsidRDefault="00B26540" w:rsidP="001E6018">
      <w:pPr>
        <w:spacing w:line="480" w:lineRule="auto"/>
        <w:jc w:val="both"/>
      </w:pPr>
      <w:r>
        <w:rPr>
          <w:b/>
          <w:sz w:val="20"/>
        </w:rPr>
        <w:t>Fig. S9.</w:t>
      </w:r>
      <w:r w:rsidRPr="00DD0C9A">
        <w:rPr>
          <w:sz w:val="20"/>
        </w:rPr>
        <w:t xml:space="preserve"> </w:t>
      </w:r>
      <w:r w:rsidR="00E54BA9">
        <w:rPr>
          <w:sz w:val="20"/>
        </w:rPr>
        <w:t xml:space="preserve">Apatite REE geochemistry of Arnhem Province samples. </w:t>
      </w:r>
      <w:proofErr w:type="spellStart"/>
      <w:r w:rsidR="00E54BA9">
        <w:rPr>
          <w:sz w:val="20"/>
        </w:rPr>
        <w:t>Spiderplots</w:t>
      </w:r>
      <w:proofErr w:type="spellEnd"/>
      <w:r w:rsidR="00E54BA9">
        <w:rPr>
          <w:sz w:val="20"/>
        </w:rPr>
        <w:t xml:space="preserve"> have been normalised to primitive mantle values of McDonough and</w:t>
      </w:r>
      <w:r w:rsidR="00E54BA9" w:rsidRPr="00B67E07">
        <w:rPr>
          <w:sz w:val="20"/>
        </w:rPr>
        <w:t xml:space="preserve"> Sun </w:t>
      </w:r>
      <w:r w:rsidR="00E54BA9">
        <w:rPr>
          <w:sz w:val="20"/>
        </w:rPr>
        <w:t>(</w:t>
      </w:r>
      <w:r w:rsidR="00E54BA9" w:rsidRPr="00B67E07">
        <w:rPr>
          <w:sz w:val="20"/>
        </w:rPr>
        <w:t>1995</w:t>
      </w:r>
      <w:r w:rsidR="00E54BA9">
        <w:rPr>
          <w:sz w:val="20"/>
        </w:rPr>
        <w:t>).</w:t>
      </w:r>
    </w:p>
    <w:p w:rsidR="00B26540" w:rsidRDefault="00B26540" w:rsidP="001E6018">
      <w:pPr>
        <w:spacing w:line="480" w:lineRule="auto"/>
        <w:jc w:val="both"/>
      </w:pPr>
    </w:p>
    <w:p w:rsidR="00B26540" w:rsidRDefault="00B26540" w:rsidP="001E6018">
      <w:pPr>
        <w:spacing w:line="480" w:lineRule="auto"/>
        <w:jc w:val="both"/>
      </w:pPr>
    </w:p>
    <w:p w:rsidR="00B26540" w:rsidRDefault="00B26540" w:rsidP="001E6018">
      <w:pPr>
        <w:spacing w:line="480" w:lineRule="auto"/>
        <w:jc w:val="both"/>
      </w:pPr>
    </w:p>
    <w:p w:rsidR="00B26540" w:rsidRPr="00B26540" w:rsidRDefault="00B26540" w:rsidP="001E6018">
      <w:pPr>
        <w:spacing w:line="480" w:lineRule="auto"/>
        <w:jc w:val="both"/>
      </w:pPr>
    </w:p>
    <w:p w:rsidR="00E15D4A" w:rsidRPr="00E15D4A" w:rsidRDefault="00E15D4A" w:rsidP="001E6018">
      <w:pPr>
        <w:spacing w:line="480" w:lineRule="auto"/>
        <w:jc w:val="both"/>
        <w:rPr>
          <w:b/>
          <w:i/>
        </w:rPr>
      </w:pPr>
      <w:r w:rsidRPr="00E15D4A">
        <w:rPr>
          <w:b/>
          <w:i/>
        </w:rPr>
        <w:lastRenderedPageBreak/>
        <w:t>References</w:t>
      </w:r>
    </w:p>
    <w:p w:rsidR="00FC2FB6" w:rsidRPr="000A2606" w:rsidRDefault="00FC2FB6" w:rsidP="00D561A9">
      <w:pPr>
        <w:pStyle w:val="EndNoteBibliography"/>
        <w:spacing w:after="0" w:line="276" w:lineRule="auto"/>
        <w:jc w:val="left"/>
        <w:rPr>
          <w:rFonts w:asciiTheme="minorHAnsi" w:hAnsiTheme="minorHAnsi" w:cstheme="minorHAnsi"/>
        </w:rPr>
      </w:pPr>
      <w:r w:rsidRPr="000A2606">
        <w:rPr>
          <w:rFonts w:asciiTheme="minorHAnsi" w:hAnsiTheme="minorHAnsi" w:cstheme="minorHAnsi"/>
        </w:rPr>
        <w:t xml:space="preserve">Ahmad, M., Wygralak, A.S., Ferenczi, P.A. &amp; Bajwah, Z.U. 1993. </w:t>
      </w:r>
      <w:r w:rsidRPr="000A2606">
        <w:rPr>
          <w:rFonts w:asciiTheme="minorHAnsi" w:hAnsiTheme="minorHAnsi" w:cstheme="minorHAnsi"/>
          <w:i/>
        </w:rPr>
        <w:t>Pine Creek, Northern Territory. 1:250 000 geological map series explanatory notes, SE 52-8</w:t>
      </w:r>
      <w:r w:rsidRPr="000A2606">
        <w:rPr>
          <w:rFonts w:asciiTheme="minorHAnsi" w:hAnsiTheme="minorHAnsi" w:cstheme="minorHAnsi"/>
        </w:rPr>
        <w:t>. Northern Territory Geological Survey, Darwin.</w:t>
      </w:r>
    </w:p>
    <w:p w:rsidR="00FC2FB6" w:rsidRPr="0005735C" w:rsidRDefault="00FC2FB6" w:rsidP="00D561A9">
      <w:pPr>
        <w:pStyle w:val="EndNoteBibliography"/>
        <w:spacing w:after="0"/>
        <w:jc w:val="left"/>
      </w:pPr>
    </w:p>
    <w:p w:rsidR="00FC2FB6" w:rsidRDefault="00FC2FB6" w:rsidP="00D561A9">
      <w:pPr>
        <w:pStyle w:val="EndNoteBibliography"/>
        <w:spacing w:after="0"/>
        <w:jc w:val="left"/>
      </w:pPr>
      <w:r w:rsidRPr="0005735C">
        <w:t xml:space="preserve">Carlson, W.D., Donelick, R.A. &amp; Ketcham, R.A. 1999. Variability of apatite fission-track annealing kinetics: I. Experimental results. </w:t>
      </w:r>
      <w:r w:rsidRPr="0005735C">
        <w:rPr>
          <w:i/>
        </w:rPr>
        <w:t>American Mineralogist</w:t>
      </w:r>
      <w:r w:rsidRPr="0005735C">
        <w:t xml:space="preserve">, </w:t>
      </w:r>
      <w:r w:rsidRPr="0005735C">
        <w:rPr>
          <w:b/>
        </w:rPr>
        <w:t>84</w:t>
      </w:r>
      <w:r w:rsidRPr="0005735C">
        <w:t xml:space="preserve">, 1213-1223, doi: </w:t>
      </w:r>
      <w:hyperlink r:id="rId18" w:history="1">
        <w:r w:rsidRPr="007A4F26">
          <w:rPr>
            <w:rStyle w:val="Hyperlink"/>
          </w:rPr>
          <w:t>https://doi.org/10.2138/am-1999-0901</w:t>
        </w:r>
      </w:hyperlink>
      <w:r w:rsidRPr="0005735C">
        <w:t>.</w:t>
      </w:r>
    </w:p>
    <w:p w:rsidR="00FC2FB6" w:rsidRPr="0005735C" w:rsidRDefault="00FC2FB6" w:rsidP="00D561A9">
      <w:pPr>
        <w:pStyle w:val="EndNoteBibliography"/>
        <w:spacing w:after="0"/>
        <w:jc w:val="left"/>
      </w:pPr>
    </w:p>
    <w:p w:rsidR="00FC2FB6" w:rsidRDefault="00FC2FB6" w:rsidP="00D561A9">
      <w:pPr>
        <w:pStyle w:val="EndNoteBibliography"/>
        <w:spacing w:after="0"/>
        <w:jc w:val="left"/>
      </w:pPr>
      <w:r w:rsidRPr="0005735C">
        <w:t xml:space="preserve">Chew, D.M., Babechuk, M.G., Cogné, N., Mark, C., O'Sullivan, G.J., Henrichs, I.A., Doepke, D. &amp; McKenna, C.A. 2016. (LA,Q)-ICPMS trace-element analyses of Durango and McClure Mountain apatite and implications for making natural LA-ICPMS mineral standards. </w:t>
      </w:r>
      <w:r w:rsidRPr="0005735C">
        <w:rPr>
          <w:i/>
        </w:rPr>
        <w:t>Chemical Geology</w:t>
      </w:r>
      <w:r w:rsidRPr="0005735C">
        <w:t xml:space="preserve">, </w:t>
      </w:r>
      <w:r w:rsidRPr="0005735C">
        <w:rPr>
          <w:b/>
        </w:rPr>
        <w:t>435</w:t>
      </w:r>
      <w:r w:rsidRPr="0005735C">
        <w:t xml:space="preserve">, 35-48, doi: </w:t>
      </w:r>
      <w:hyperlink r:id="rId19" w:history="1">
        <w:r w:rsidRPr="007A4F26">
          <w:rPr>
            <w:rStyle w:val="Hyperlink"/>
          </w:rPr>
          <w:t>https://doi.org/10.1016/j.chemgeo.2016.03.028</w:t>
        </w:r>
      </w:hyperlink>
      <w:r w:rsidRPr="0005735C">
        <w:t>.</w:t>
      </w:r>
    </w:p>
    <w:p w:rsidR="00FC2FB6" w:rsidRPr="0005735C" w:rsidRDefault="00FC2FB6" w:rsidP="00D561A9">
      <w:pPr>
        <w:pStyle w:val="EndNoteBibliography"/>
        <w:spacing w:after="0"/>
        <w:jc w:val="left"/>
      </w:pPr>
    </w:p>
    <w:p w:rsidR="00FC2FB6" w:rsidRDefault="00FC2FB6" w:rsidP="00D561A9">
      <w:pPr>
        <w:pStyle w:val="EndNoteBibliography"/>
        <w:spacing w:after="0"/>
        <w:jc w:val="left"/>
      </w:pPr>
      <w:r w:rsidRPr="0005735C">
        <w:t xml:space="preserve">Chew, D.M., Petrus, J.A. &amp; Kamber, B.S. 2014. U-Pb LA-ICPMS dating using accessory mineral standards with variable common Pb. </w:t>
      </w:r>
      <w:r w:rsidRPr="0005735C">
        <w:rPr>
          <w:i/>
        </w:rPr>
        <w:t>Chemical Geology</w:t>
      </w:r>
      <w:r w:rsidRPr="0005735C">
        <w:t xml:space="preserve">, </w:t>
      </w:r>
      <w:r w:rsidRPr="0005735C">
        <w:rPr>
          <w:b/>
        </w:rPr>
        <w:t>363</w:t>
      </w:r>
      <w:r w:rsidRPr="0005735C">
        <w:t xml:space="preserve">, 185-199, doi: </w:t>
      </w:r>
      <w:hyperlink r:id="rId20" w:history="1">
        <w:r w:rsidRPr="007A4F26">
          <w:rPr>
            <w:rStyle w:val="Hyperlink"/>
          </w:rPr>
          <w:t>https://doi.org/10.1016/j.chemgeo.2013.11.006</w:t>
        </w:r>
      </w:hyperlink>
      <w:r w:rsidRPr="0005735C">
        <w:t>.</w:t>
      </w:r>
    </w:p>
    <w:p w:rsidR="00FC2FB6" w:rsidRPr="0005735C" w:rsidRDefault="00FC2FB6" w:rsidP="00D561A9">
      <w:pPr>
        <w:pStyle w:val="EndNoteBibliography"/>
        <w:spacing w:after="0"/>
        <w:jc w:val="left"/>
      </w:pPr>
    </w:p>
    <w:p w:rsidR="00FC2FB6" w:rsidRDefault="00FC2FB6" w:rsidP="00D561A9">
      <w:pPr>
        <w:pStyle w:val="EndNoteBibliography"/>
        <w:spacing w:after="0"/>
        <w:jc w:val="left"/>
      </w:pPr>
      <w:r w:rsidRPr="0005735C">
        <w:t xml:space="preserve">Flowers, R.M., Farley, K.A. &amp; Ketcham, R.A. 2015. A reporting protocol for thermochronologic modeling illustrated with data from the Grand Canyon. </w:t>
      </w:r>
      <w:r w:rsidRPr="0005735C">
        <w:rPr>
          <w:i/>
        </w:rPr>
        <w:t>Earth and Planetary Science Letters</w:t>
      </w:r>
      <w:r w:rsidRPr="0005735C">
        <w:t xml:space="preserve">, </w:t>
      </w:r>
      <w:r w:rsidRPr="0005735C">
        <w:rPr>
          <w:b/>
        </w:rPr>
        <w:t>432</w:t>
      </w:r>
      <w:r w:rsidRPr="0005735C">
        <w:t xml:space="preserve">, 425-435, doi: </w:t>
      </w:r>
      <w:hyperlink r:id="rId21" w:history="1">
        <w:r w:rsidRPr="007A4F26">
          <w:rPr>
            <w:rStyle w:val="Hyperlink"/>
          </w:rPr>
          <w:t>https://doi.org/10.1016/j.epsl.2015.09.053</w:t>
        </w:r>
      </w:hyperlink>
      <w:r w:rsidRPr="0005735C">
        <w:t>.</w:t>
      </w:r>
    </w:p>
    <w:p w:rsidR="00FC2FB6" w:rsidRPr="0005735C" w:rsidRDefault="00FC2FB6" w:rsidP="00D561A9">
      <w:pPr>
        <w:pStyle w:val="EndNoteBibliography"/>
        <w:spacing w:after="0"/>
        <w:jc w:val="left"/>
      </w:pPr>
    </w:p>
    <w:p w:rsidR="00FC2FB6" w:rsidRDefault="00FC2FB6" w:rsidP="00D561A9">
      <w:pPr>
        <w:pStyle w:val="EndNoteBibliography"/>
        <w:spacing w:after="0"/>
        <w:jc w:val="left"/>
      </w:pPr>
      <w:r w:rsidRPr="0005735C">
        <w:t xml:space="preserve">Gallagher, K. 2012. Transdimensional inverse thermal history modeling for quantitative thermochronology. </w:t>
      </w:r>
      <w:r w:rsidRPr="0005735C">
        <w:rPr>
          <w:i/>
        </w:rPr>
        <w:t>Journal of Geophysical Research: Solid Earth</w:t>
      </w:r>
      <w:r w:rsidRPr="0005735C">
        <w:t xml:space="preserve">, </w:t>
      </w:r>
      <w:r w:rsidRPr="0005735C">
        <w:rPr>
          <w:b/>
        </w:rPr>
        <w:t>117</w:t>
      </w:r>
      <w:r w:rsidRPr="0005735C">
        <w:t xml:space="preserve">, 1-16, doi: </w:t>
      </w:r>
      <w:hyperlink r:id="rId22" w:history="1">
        <w:r w:rsidRPr="007A4F26">
          <w:rPr>
            <w:rStyle w:val="Hyperlink"/>
          </w:rPr>
          <w:t>https://doi.org/10.1029/2011jb008825</w:t>
        </w:r>
      </w:hyperlink>
      <w:r w:rsidRPr="0005735C">
        <w:t>.</w:t>
      </w:r>
    </w:p>
    <w:p w:rsidR="00FC2FB6" w:rsidRPr="0005735C" w:rsidRDefault="00FC2FB6" w:rsidP="00D561A9">
      <w:pPr>
        <w:pStyle w:val="EndNoteBibliography"/>
        <w:spacing w:after="0"/>
        <w:jc w:val="left"/>
      </w:pPr>
    </w:p>
    <w:p w:rsidR="00FC2FB6" w:rsidRDefault="00FC2FB6" w:rsidP="00D561A9">
      <w:pPr>
        <w:pStyle w:val="EndNoteBibliography"/>
        <w:spacing w:after="0"/>
        <w:jc w:val="left"/>
      </w:pPr>
      <w:r w:rsidRPr="0005735C">
        <w:t xml:space="preserve">Glorie, S., Jepson, G., Konopelko, D., Mirkamalov, R., Meeuws, F., Gilbert, S., Gillespie, J., Collins, A.S., Xiao, W., Dewaele, S. &amp; De Grave, J. 2019. Thermochronological and geochemical footprints of post-orogenic fluid alteration recorded in apatite: Implications for mineralisation in the Uzbek Tian Shan. </w:t>
      </w:r>
      <w:r w:rsidRPr="0005735C">
        <w:rPr>
          <w:i/>
        </w:rPr>
        <w:t>Gondwana Research</w:t>
      </w:r>
      <w:r w:rsidRPr="0005735C">
        <w:t xml:space="preserve">, </w:t>
      </w:r>
      <w:r w:rsidRPr="0005735C">
        <w:rPr>
          <w:b/>
        </w:rPr>
        <w:t>71</w:t>
      </w:r>
      <w:r w:rsidRPr="0005735C">
        <w:t xml:space="preserve">, 1-15, doi: </w:t>
      </w:r>
      <w:hyperlink r:id="rId23" w:history="1">
        <w:r w:rsidRPr="007A4F26">
          <w:rPr>
            <w:rStyle w:val="Hyperlink"/>
          </w:rPr>
          <w:t>https://doi.org/10.1016/j.gr.2019.01.011</w:t>
        </w:r>
      </w:hyperlink>
      <w:r w:rsidRPr="0005735C">
        <w:t>.</w:t>
      </w:r>
    </w:p>
    <w:p w:rsidR="00FC2FB6" w:rsidRPr="0005735C" w:rsidRDefault="00FC2FB6" w:rsidP="00D561A9">
      <w:pPr>
        <w:pStyle w:val="EndNoteBibliography"/>
        <w:spacing w:after="0"/>
        <w:jc w:val="left"/>
      </w:pPr>
    </w:p>
    <w:p w:rsidR="00FC2FB6" w:rsidRDefault="00FC2FB6" w:rsidP="00D561A9">
      <w:pPr>
        <w:pStyle w:val="EndNoteBibliography"/>
        <w:spacing w:after="0"/>
        <w:jc w:val="left"/>
      </w:pPr>
      <w:r w:rsidRPr="0005735C">
        <w:t xml:space="preserve">Hughes, J.M. &amp; Rakovan, J. 2002. The crystal structure of apatite, Ca5(PO4)3(F,OH,Cl). </w:t>
      </w:r>
      <w:r w:rsidRPr="0005735C">
        <w:rPr>
          <w:i/>
        </w:rPr>
        <w:t>Reviews in Mineralogy and Geochemistry</w:t>
      </w:r>
      <w:r w:rsidRPr="0005735C">
        <w:t xml:space="preserve">, </w:t>
      </w:r>
      <w:r w:rsidRPr="0005735C">
        <w:rPr>
          <w:b/>
        </w:rPr>
        <w:t>48</w:t>
      </w:r>
      <w:r w:rsidRPr="0005735C">
        <w:t xml:space="preserve">, 1-12, doi: </w:t>
      </w:r>
      <w:hyperlink r:id="rId24" w:history="1">
        <w:r w:rsidRPr="007A4F26">
          <w:rPr>
            <w:rStyle w:val="Hyperlink"/>
          </w:rPr>
          <w:t>https://doi.org/10.2138/rmg.2002.48.1</w:t>
        </w:r>
      </w:hyperlink>
      <w:r w:rsidRPr="0005735C">
        <w:t>.</w:t>
      </w:r>
    </w:p>
    <w:p w:rsidR="00FC2FB6" w:rsidRPr="0005735C" w:rsidRDefault="00FC2FB6" w:rsidP="00D561A9">
      <w:pPr>
        <w:pStyle w:val="EndNoteBibliography"/>
        <w:spacing w:after="0"/>
        <w:jc w:val="left"/>
      </w:pPr>
    </w:p>
    <w:p w:rsidR="00FC2FB6" w:rsidRDefault="00FC2FB6" w:rsidP="00D561A9">
      <w:pPr>
        <w:pStyle w:val="EndNoteBibliography"/>
        <w:spacing w:after="0"/>
        <w:jc w:val="left"/>
      </w:pPr>
      <w:r w:rsidRPr="0005735C">
        <w:t xml:space="preserve">Ketcham, R.A., Donelick, R.A. &amp; Carlson, W.D. 1999. Variability of apatite fission-track annealing kinetics: III. Extrapolation to geological time scales. </w:t>
      </w:r>
      <w:r w:rsidRPr="0005735C">
        <w:rPr>
          <w:i/>
        </w:rPr>
        <w:t>American Mineralogist</w:t>
      </w:r>
      <w:r w:rsidRPr="0005735C">
        <w:t xml:space="preserve">, </w:t>
      </w:r>
      <w:r w:rsidRPr="0005735C">
        <w:rPr>
          <w:b/>
        </w:rPr>
        <w:t>84</w:t>
      </w:r>
      <w:r w:rsidRPr="0005735C">
        <w:t xml:space="preserve">, 1235-1255, doi: </w:t>
      </w:r>
      <w:hyperlink r:id="rId25" w:history="1">
        <w:r w:rsidRPr="007A4F26">
          <w:rPr>
            <w:rStyle w:val="Hyperlink"/>
          </w:rPr>
          <w:t>https://doi.org/10.2138/am-1999-0903</w:t>
        </w:r>
      </w:hyperlink>
      <w:r w:rsidRPr="0005735C">
        <w:t>.</w:t>
      </w:r>
    </w:p>
    <w:p w:rsidR="00FC2FB6" w:rsidRPr="0005735C" w:rsidRDefault="00FC2FB6" w:rsidP="00D561A9">
      <w:pPr>
        <w:pStyle w:val="EndNoteBibliography"/>
        <w:spacing w:after="0"/>
        <w:jc w:val="left"/>
      </w:pPr>
    </w:p>
    <w:p w:rsidR="00FC2FB6" w:rsidRDefault="00FC2FB6" w:rsidP="00D561A9">
      <w:pPr>
        <w:pStyle w:val="EndNoteBibliography"/>
        <w:spacing w:after="0"/>
        <w:jc w:val="left"/>
      </w:pPr>
      <w:r w:rsidRPr="0005735C">
        <w:t xml:space="preserve">Marks, M.A.W., Wenzel, T., Whitehouse, M.J., Loose, M., Zack, T., Barth, M., Worgard, L., Krasz, V., Eby, G.N., Stosnach, H. &amp; Markl, G. 2012. The volatile inventory (F, Cl, Br, S, C) of magmatic apatite: An integrated analytical approach. </w:t>
      </w:r>
      <w:r w:rsidRPr="0005735C">
        <w:rPr>
          <w:i/>
        </w:rPr>
        <w:t>Chemical Geology</w:t>
      </w:r>
      <w:r w:rsidRPr="0005735C">
        <w:t xml:space="preserve">, </w:t>
      </w:r>
      <w:r w:rsidRPr="0005735C">
        <w:rPr>
          <w:b/>
        </w:rPr>
        <w:t>291</w:t>
      </w:r>
      <w:r w:rsidRPr="0005735C">
        <w:t xml:space="preserve">, 241-255, doi: </w:t>
      </w:r>
      <w:hyperlink r:id="rId26" w:history="1">
        <w:r w:rsidRPr="007A4F26">
          <w:rPr>
            <w:rStyle w:val="Hyperlink"/>
          </w:rPr>
          <w:t>https://doi.org/10.1016/j.chemgeo.2011.10.026</w:t>
        </w:r>
      </w:hyperlink>
      <w:r w:rsidRPr="0005735C">
        <w:t>.</w:t>
      </w:r>
    </w:p>
    <w:p w:rsidR="00FC2FB6" w:rsidRPr="0005735C" w:rsidRDefault="00FC2FB6" w:rsidP="00D561A9">
      <w:pPr>
        <w:pStyle w:val="EndNoteBibliography"/>
        <w:spacing w:after="0"/>
        <w:jc w:val="left"/>
      </w:pPr>
    </w:p>
    <w:p w:rsidR="00FC2FB6" w:rsidRDefault="00FC2FB6" w:rsidP="00D561A9">
      <w:pPr>
        <w:pStyle w:val="EndNoteBibliography"/>
        <w:spacing w:after="0"/>
        <w:jc w:val="left"/>
      </w:pPr>
      <w:r w:rsidRPr="0005735C">
        <w:t xml:space="preserve">McDonough, W.F. &amp; Sun, S.S. 1995. The composition of the Earth. </w:t>
      </w:r>
      <w:r w:rsidRPr="0005735C">
        <w:rPr>
          <w:i/>
        </w:rPr>
        <w:t>Chemical Geology</w:t>
      </w:r>
      <w:r w:rsidRPr="0005735C">
        <w:t xml:space="preserve">, </w:t>
      </w:r>
      <w:r w:rsidRPr="0005735C">
        <w:rPr>
          <w:b/>
        </w:rPr>
        <w:t>120</w:t>
      </w:r>
      <w:r w:rsidRPr="0005735C">
        <w:t xml:space="preserve">, 223-253, doi: </w:t>
      </w:r>
      <w:hyperlink r:id="rId27" w:history="1">
        <w:r w:rsidRPr="007A4F26">
          <w:rPr>
            <w:rStyle w:val="Hyperlink"/>
          </w:rPr>
          <w:t>https://doi.org/10.1016/0009-2541(94)00140-4</w:t>
        </w:r>
      </w:hyperlink>
      <w:r w:rsidRPr="0005735C">
        <w:t>.</w:t>
      </w:r>
    </w:p>
    <w:p w:rsidR="00FC2FB6" w:rsidRPr="0005735C" w:rsidRDefault="00FC2FB6" w:rsidP="00D561A9">
      <w:pPr>
        <w:pStyle w:val="EndNoteBibliography"/>
        <w:spacing w:after="0"/>
        <w:jc w:val="left"/>
      </w:pPr>
    </w:p>
    <w:p w:rsidR="00FC2FB6" w:rsidRDefault="00FC2FB6" w:rsidP="00D561A9">
      <w:pPr>
        <w:pStyle w:val="EndNoteBibliography"/>
        <w:spacing w:after="0"/>
        <w:jc w:val="left"/>
      </w:pPr>
      <w:r w:rsidRPr="0005735C">
        <w:t xml:space="preserve">McDowell, F.W., McIntosh, W.C. &amp; Farley, K.A. 2005. A precise Ar-40-Ar-39 reference age for the Durango apatite (U-Th)/He and fission-track dating standard. </w:t>
      </w:r>
      <w:r w:rsidRPr="0005735C">
        <w:rPr>
          <w:i/>
        </w:rPr>
        <w:t>Chemical Geology</w:t>
      </w:r>
      <w:r w:rsidRPr="0005735C">
        <w:t xml:space="preserve">, </w:t>
      </w:r>
      <w:r w:rsidRPr="0005735C">
        <w:rPr>
          <w:b/>
        </w:rPr>
        <w:t>214</w:t>
      </w:r>
      <w:r w:rsidRPr="0005735C">
        <w:t xml:space="preserve">, 249-263, doi: </w:t>
      </w:r>
      <w:hyperlink r:id="rId28" w:history="1">
        <w:r w:rsidRPr="007A4F26">
          <w:rPr>
            <w:rStyle w:val="Hyperlink"/>
          </w:rPr>
          <w:t>https://doi.org/10.1016/j.chemgeo.2004.10.002</w:t>
        </w:r>
      </w:hyperlink>
      <w:r w:rsidRPr="0005735C">
        <w:t>.</w:t>
      </w:r>
    </w:p>
    <w:p w:rsidR="00FC2FB6" w:rsidRPr="0005735C" w:rsidRDefault="00FC2FB6" w:rsidP="00D561A9">
      <w:pPr>
        <w:pStyle w:val="EndNoteBibliography"/>
        <w:spacing w:after="0"/>
        <w:jc w:val="left"/>
      </w:pPr>
    </w:p>
    <w:p w:rsidR="00FC2FB6" w:rsidRDefault="00FC2FB6" w:rsidP="00D561A9">
      <w:pPr>
        <w:pStyle w:val="EndNoteBibliography"/>
        <w:spacing w:after="0"/>
        <w:jc w:val="left"/>
      </w:pPr>
      <w:r w:rsidRPr="0005735C">
        <w:lastRenderedPageBreak/>
        <w:t xml:space="preserve">O'Sullivan, P.B. &amp; Parrish, R.R. 1995. The importance of apatite composition and single-grain ages when interpreting fission track data from plutonic rocks: a case study from the Coast Ranges, British Columbia. </w:t>
      </w:r>
      <w:r w:rsidRPr="0005735C">
        <w:rPr>
          <w:i/>
        </w:rPr>
        <w:t>Earth and Planetary Science Letters</w:t>
      </w:r>
      <w:r w:rsidRPr="0005735C">
        <w:t xml:space="preserve">, </w:t>
      </w:r>
      <w:r w:rsidRPr="0005735C">
        <w:rPr>
          <w:b/>
        </w:rPr>
        <w:t>132</w:t>
      </w:r>
      <w:r w:rsidRPr="0005735C">
        <w:t xml:space="preserve">, 213-224, doi: </w:t>
      </w:r>
      <w:hyperlink r:id="rId29" w:history="1">
        <w:r w:rsidRPr="007A4F26">
          <w:rPr>
            <w:rStyle w:val="Hyperlink"/>
          </w:rPr>
          <w:t>https://doi.org/10.1016/0012-821X(95)00058-K</w:t>
        </w:r>
      </w:hyperlink>
      <w:r w:rsidRPr="0005735C">
        <w:t>.</w:t>
      </w:r>
    </w:p>
    <w:p w:rsidR="00FC2FB6" w:rsidRPr="0005735C" w:rsidRDefault="00FC2FB6" w:rsidP="00D561A9">
      <w:pPr>
        <w:pStyle w:val="EndNoteBibliography"/>
        <w:spacing w:after="0"/>
        <w:jc w:val="left"/>
      </w:pPr>
    </w:p>
    <w:p w:rsidR="00FC2FB6" w:rsidRDefault="00FC2FB6" w:rsidP="00D561A9">
      <w:pPr>
        <w:pStyle w:val="EndNoteBibliography"/>
        <w:spacing w:after="0"/>
        <w:jc w:val="left"/>
      </w:pPr>
      <w:r w:rsidRPr="0005735C">
        <w:t xml:space="preserve">Pan, Y. &amp; Fleet, M.E. 2002. Compositions of the apatite-group minerals: substitution mechanisms and controlling factors. </w:t>
      </w:r>
      <w:r w:rsidRPr="0005735C">
        <w:rPr>
          <w:i/>
        </w:rPr>
        <w:t>Reviews in Mineralogy and Geochemistry</w:t>
      </w:r>
      <w:r w:rsidRPr="0005735C">
        <w:t xml:space="preserve">, </w:t>
      </w:r>
      <w:r w:rsidRPr="0005735C">
        <w:rPr>
          <w:b/>
        </w:rPr>
        <w:t>48</w:t>
      </w:r>
      <w:r w:rsidRPr="0005735C">
        <w:t xml:space="preserve">, 13-49, doi: </w:t>
      </w:r>
      <w:hyperlink r:id="rId30" w:history="1">
        <w:r w:rsidRPr="007A4F26">
          <w:rPr>
            <w:rStyle w:val="Hyperlink"/>
          </w:rPr>
          <w:t>https://doi.org/10.2138/rmg.2002.48.2</w:t>
        </w:r>
      </w:hyperlink>
      <w:r w:rsidRPr="0005735C">
        <w:t>.</w:t>
      </w:r>
    </w:p>
    <w:p w:rsidR="00FC2FB6" w:rsidRPr="0005735C" w:rsidRDefault="00FC2FB6" w:rsidP="00D561A9">
      <w:pPr>
        <w:pStyle w:val="EndNoteBibliography"/>
        <w:spacing w:after="0"/>
        <w:jc w:val="left"/>
      </w:pPr>
    </w:p>
    <w:p w:rsidR="00FC2FB6" w:rsidRDefault="00FC2FB6" w:rsidP="00D561A9">
      <w:pPr>
        <w:pStyle w:val="EndNoteBibliography"/>
        <w:spacing w:after="0"/>
        <w:jc w:val="left"/>
      </w:pPr>
      <w:r w:rsidRPr="0005735C">
        <w:t xml:space="preserve">Schoene, B. &amp; Bowring, S.A. 2006. U–Pb systematics of the McClure Mountain syenite: thermochronological constraints on the age of the 40Ar/39Ar standard MMhb. </w:t>
      </w:r>
      <w:r w:rsidRPr="0005735C">
        <w:rPr>
          <w:i/>
        </w:rPr>
        <w:t>Contributions to Mineralogy and Petrology</w:t>
      </w:r>
      <w:r w:rsidRPr="0005735C">
        <w:t xml:space="preserve">, </w:t>
      </w:r>
      <w:r w:rsidRPr="0005735C">
        <w:rPr>
          <w:b/>
        </w:rPr>
        <w:t>151</w:t>
      </w:r>
      <w:r w:rsidRPr="0005735C">
        <w:t xml:space="preserve">, 615, doi: </w:t>
      </w:r>
      <w:hyperlink r:id="rId31" w:history="1">
        <w:r w:rsidRPr="007A4F26">
          <w:rPr>
            <w:rStyle w:val="Hyperlink"/>
          </w:rPr>
          <w:t>https://doi.org/10.1007/s00410-006-0077-4</w:t>
        </w:r>
      </w:hyperlink>
      <w:r w:rsidRPr="0005735C">
        <w:t>.</w:t>
      </w:r>
    </w:p>
    <w:p w:rsidR="00FC2FB6" w:rsidRPr="0005735C" w:rsidRDefault="00FC2FB6" w:rsidP="00D561A9">
      <w:pPr>
        <w:pStyle w:val="EndNoteBibliography"/>
        <w:spacing w:after="0"/>
        <w:jc w:val="left"/>
      </w:pPr>
    </w:p>
    <w:p w:rsidR="00FC2FB6" w:rsidRDefault="00FC2FB6" w:rsidP="00D561A9">
      <w:pPr>
        <w:pStyle w:val="EndNoteBibliography"/>
        <w:spacing w:after="0"/>
        <w:jc w:val="left"/>
      </w:pPr>
      <w:r w:rsidRPr="0005735C">
        <w:t xml:space="preserve">Sheppard, S. 1995. Hybridization of shoshonitic lamprophyre and calc‐alkaline granite magma in the early Proterozoic Mt Bundey igneous suite, Northern Territory. </w:t>
      </w:r>
      <w:r w:rsidRPr="0005735C">
        <w:rPr>
          <w:i/>
        </w:rPr>
        <w:t>Australian Journal of Earth Sciences</w:t>
      </w:r>
      <w:r w:rsidRPr="0005735C">
        <w:t xml:space="preserve">, </w:t>
      </w:r>
      <w:r w:rsidRPr="0005735C">
        <w:rPr>
          <w:b/>
        </w:rPr>
        <w:t>42</w:t>
      </w:r>
      <w:r w:rsidRPr="0005735C">
        <w:t xml:space="preserve">, 173-185, doi: </w:t>
      </w:r>
      <w:hyperlink r:id="rId32" w:history="1">
        <w:r w:rsidRPr="007A4F26">
          <w:rPr>
            <w:rStyle w:val="Hyperlink"/>
          </w:rPr>
          <w:t>https://doi.org/10.1080/08120099508728190</w:t>
        </w:r>
      </w:hyperlink>
      <w:r w:rsidRPr="0005735C">
        <w:t>.</w:t>
      </w:r>
    </w:p>
    <w:p w:rsidR="00FC2FB6" w:rsidRPr="0005735C" w:rsidRDefault="00FC2FB6" w:rsidP="00D561A9">
      <w:pPr>
        <w:pStyle w:val="EndNoteBibliography"/>
        <w:spacing w:after="0"/>
        <w:jc w:val="left"/>
      </w:pPr>
    </w:p>
    <w:p w:rsidR="00FC2FB6" w:rsidRDefault="00FC2FB6" w:rsidP="00D561A9">
      <w:pPr>
        <w:pStyle w:val="EndNoteBibliography"/>
        <w:spacing w:after="0"/>
        <w:jc w:val="left"/>
      </w:pPr>
      <w:r w:rsidRPr="0005735C">
        <w:t xml:space="preserve">Stuart-Smith, P.G., Needham, R.S., Page, R.W. &amp; Wyborn, L.A.I. 1993. Geology and mineral deposits of the Cullen Mineral Field, Northern Territory. </w:t>
      </w:r>
      <w:r w:rsidRPr="0005735C">
        <w:rPr>
          <w:i/>
        </w:rPr>
        <w:t>Bureau of Mineral Resources, Australia</w:t>
      </w:r>
      <w:r w:rsidRPr="0005735C">
        <w:t xml:space="preserve">, </w:t>
      </w:r>
      <w:r w:rsidRPr="0005735C">
        <w:rPr>
          <w:b/>
        </w:rPr>
        <w:t>229</w:t>
      </w:r>
      <w:r w:rsidRPr="0005735C">
        <w:t>.</w:t>
      </w:r>
    </w:p>
    <w:p w:rsidR="00FC2FB6" w:rsidRPr="0005735C" w:rsidRDefault="00FC2FB6" w:rsidP="00D561A9">
      <w:pPr>
        <w:pStyle w:val="EndNoteBibliography"/>
        <w:spacing w:after="0"/>
        <w:jc w:val="left"/>
      </w:pPr>
    </w:p>
    <w:p w:rsidR="00FC2FB6" w:rsidRDefault="00FC2FB6" w:rsidP="00D561A9">
      <w:pPr>
        <w:pStyle w:val="EndNoteBibliography"/>
        <w:spacing w:after="0"/>
        <w:jc w:val="left"/>
      </w:pPr>
      <w:r w:rsidRPr="0005735C">
        <w:t xml:space="preserve">Vermeesch, P. 2017. Statistics for LA-ICP-MS based fission track dating. </w:t>
      </w:r>
      <w:r w:rsidRPr="0005735C">
        <w:rPr>
          <w:i/>
        </w:rPr>
        <w:t>Chemical Geology</w:t>
      </w:r>
      <w:r w:rsidRPr="0005735C">
        <w:t xml:space="preserve">, </w:t>
      </w:r>
      <w:r w:rsidRPr="0005735C">
        <w:rPr>
          <w:b/>
        </w:rPr>
        <w:t>456</w:t>
      </w:r>
      <w:r w:rsidRPr="0005735C">
        <w:t xml:space="preserve">, 19-27, doi: </w:t>
      </w:r>
      <w:hyperlink r:id="rId33" w:history="1">
        <w:r w:rsidRPr="007A4F26">
          <w:rPr>
            <w:rStyle w:val="Hyperlink"/>
          </w:rPr>
          <w:t>https://doi.org/10.1016/j.chemgeo.2017.03.002</w:t>
        </w:r>
      </w:hyperlink>
      <w:r w:rsidRPr="0005735C">
        <w:t>.</w:t>
      </w:r>
    </w:p>
    <w:p w:rsidR="00FC2FB6" w:rsidRPr="0005735C" w:rsidRDefault="00FC2FB6" w:rsidP="00D561A9">
      <w:pPr>
        <w:pStyle w:val="EndNoteBibliography"/>
        <w:spacing w:after="0"/>
        <w:jc w:val="left"/>
      </w:pPr>
    </w:p>
    <w:p w:rsidR="00BD0A25" w:rsidRPr="00E54B16" w:rsidRDefault="00FC2FB6" w:rsidP="00D561A9">
      <w:pPr>
        <w:pStyle w:val="EndNoteBibliography"/>
        <w:jc w:val="left"/>
      </w:pPr>
      <w:r w:rsidRPr="0005735C">
        <w:t xml:space="preserve">Vermeesch, P. 2018. IsoplotR: A free and open toolbox for geochronology. </w:t>
      </w:r>
      <w:r w:rsidRPr="0005735C">
        <w:rPr>
          <w:i/>
        </w:rPr>
        <w:t>Geoscience Frontiers</w:t>
      </w:r>
      <w:r w:rsidRPr="0005735C">
        <w:t xml:space="preserve">, </w:t>
      </w:r>
      <w:r w:rsidRPr="0005735C">
        <w:rPr>
          <w:b/>
        </w:rPr>
        <w:t>9</w:t>
      </w:r>
      <w:r w:rsidRPr="0005735C">
        <w:t xml:space="preserve">, 1479-1493, doi: </w:t>
      </w:r>
      <w:hyperlink r:id="rId34" w:history="1">
        <w:r w:rsidRPr="007A4F26">
          <w:rPr>
            <w:rStyle w:val="Hyperlink"/>
          </w:rPr>
          <w:t>https://doi.org/10.1016/j.gsf.2018.04.001</w:t>
        </w:r>
      </w:hyperlink>
      <w:r w:rsidRPr="0005735C">
        <w:t>.</w:t>
      </w:r>
    </w:p>
    <w:sectPr w:rsidR="00BD0A25" w:rsidRPr="00E54B1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603DB6"/>
    <w:multiLevelType w:val="hybridMultilevel"/>
    <w:tmpl w:val="6C6C074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J Geological Soc (London)&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E15D4A"/>
    <w:rsid w:val="0000738F"/>
    <w:rsid w:val="00062AB7"/>
    <w:rsid w:val="001979BF"/>
    <w:rsid w:val="001E6018"/>
    <w:rsid w:val="00237C02"/>
    <w:rsid w:val="002A4586"/>
    <w:rsid w:val="002B7A70"/>
    <w:rsid w:val="002F6DEA"/>
    <w:rsid w:val="003027DC"/>
    <w:rsid w:val="003C15DC"/>
    <w:rsid w:val="003C7EAF"/>
    <w:rsid w:val="00461053"/>
    <w:rsid w:val="00466334"/>
    <w:rsid w:val="00474410"/>
    <w:rsid w:val="004A0B6A"/>
    <w:rsid w:val="005315C0"/>
    <w:rsid w:val="0054768C"/>
    <w:rsid w:val="005A3CE7"/>
    <w:rsid w:val="005C6469"/>
    <w:rsid w:val="006F315C"/>
    <w:rsid w:val="00717789"/>
    <w:rsid w:val="00741709"/>
    <w:rsid w:val="007D5304"/>
    <w:rsid w:val="00803039"/>
    <w:rsid w:val="008625D8"/>
    <w:rsid w:val="008A2C7A"/>
    <w:rsid w:val="008C1154"/>
    <w:rsid w:val="00906AA6"/>
    <w:rsid w:val="00911C09"/>
    <w:rsid w:val="0091660D"/>
    <w:rsid w:val="0095276D"/>
    <w:rsid w:val="00992F9C"/>
    <w:rsid w:val="00A20C74"/>
    <w:rsid w:val="00A6208E"/>
    <w:rsid w:val="00A95F33"/>
    <w:rsid w:val="00AC0D5A"/>
    <w:rsid w:val="00AE63F3"/>
    <w:rsid w:val="00B26540"/>
    <w:rsid w:val="00B67E07"/>
    <w:rsid w:val="00BD0A25"/>
    <w:rsid w:val="00C02F21"/>
    <w:rsid w:val="00CB3D35"/>
    <w:rsid w:val="00CD1FC0"/>
    <w:rsid w:val="00D5271F"/>
    <w:rsid w:val="00D561A9"/>
    <w:rsid w:val="00D80DAB"/>
    <w:rsid w:val="00D95931"/>
    <w:rsid w:val="00DD0C9A"/>
    <w:rsid w:val="00E15D4A"/>
    <w:rsid w:val="00E40175"/>
    <w:rsid w:val="00E54B16"/>
    <w:rsid w:val="00E54BA9"/>
    <w:rsid w:val="00E87BEA"/>
    <w:rsid w:val="00F043F7"/>
    <w:rsid w:val="00F05102"/>
    <w:rsid w:val="00F3773D"/>
    <w:rsid w:val="00FC2F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2183A"/>
  <w15:chartTrackingRefBased/>
  <w15:docId w15:val="{1ED8FECE-3450-4DE5-B4E5-5E275ABB5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D4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E15D4A"/>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E15D4A"/>
    <w:rPr>
      <w:rFonts w:ascii="Calibri" w:hAnsi="Calibri" w:cs="Calibri"/>
      <w:noProof/>
      <w:lang w:val="en-US"/>
    </w:rPr>
  </w:style>
  <w:style w:type="paragraph" w:customStyle="1" w:styleId="EndNoteBibliography">
    <w:name w:val="EndNote Bibliography"/>
    <w:basedOn w:val="Normal"/>
    <w:link w:val="EndNoteBibliographyChar"/>
    <w:rsid w:val="00E15D4A"/>
    <w:pPr>
      <w:spacing w:line="240" w:lineRule="auto"/>
      <w:jc w:val="both"/>
    </w:pPr>
    <w:rPr>
      <w:rFonts w:ascii="Calibri" w:hAnsi="Calibri" w:cs="Calibri"/>
      <w:noProof/>
      <w:lang w:val="en-US"/>
    </w:rPr>
  </w:style>
  <w:style w:type="character" w:customStyle="1" w:styleId="EndNoteBibliographyChar">
    <w:name w:val="EndNote Bibliography Char"/>
    <w:basedOn w:val="DefaultParagraphFont"/>
    <w:link w:val="EndNoteBibliography"/>
    <w:rsid w:val="00E15D4A"/>
    <w:rPr>
      <w:rFonts w:ascii="Calibri" w:hAnsi="Calibri" w:cs="Calibri"/>
      <w:noProof/>
      <w:lang w:val="en-US"/>
    </w:rPr>
  </w:style>
  <w:style w:type="character" w:styleId="Hyperlink">
    <w:name w:val="Hyperlink"/>
    <w:basedOn w:val="DefaultParagraphFont"/>
    <w:uiPriority w:val="99"/>
    <w:unhideWhenUsed/>
    <w:rsid w:val="00E15D4A"/>
    <w:rPr>
      <w:color w:val="0563C1" w:themeColor="hyperlink"/>
      <w:u w:val="single"/>
    </w:rPr>
  </w:style>
  <w:style w:type="paragraph" w:styleId="ListParagraph">
    <w:name w:val="List Paragraph"/>
    <w:basedOn w:val="Normal"/>
    <w:uiPriority w:val="34"/>
    <w:qFormat/>
    <w:rsid w:val="00E15D4A"/>
    <w:pPr>
      <w:ind w:left="720"/>
      <w:contextualSpacing/>
    </w:pPr>
  </w:style>
  <w:style w:type="table" w:styleId="PlainTable1">
    <w:name w:val="Plain Table 1"/>
    <w:basedOn w:val="TableNormal"/>
    <w:uiPriority w:val="41"/>
    <w:rsid w:val="00E15D4A"/>
    <w:pPr>
      <w:spacing w:after="0" w:line="240" w:lineRule="auto"/>
    </w:pPr>
    <w:rPr>
      <w:lang w:val="en-US"/>
    </w:r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rsid w:val="00E15D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B7A7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hyperlink" Target="https://doi.org/10.2138/am-1999-0901" TargetMode="External"/><Relationship Id="rId26" Type="http://schemas.openxmlformats.org/officeDocument/2006/relationships/hyperlink" Target="https://doi.org/10.1016/j.chemgeo.2011.10.026" TargetMode="External"/><Relationship Id="rId3" Type="http://schemas.openxmlformats.org/officeDocument/2006/relationships/settings" Target="settings.xml"/><Relationship Id="rId21" Type="http://schemas.openxmlformats.org/officeDocument/2006/relationships/hyperlink" Target="https://doi.org/10.1016/j.epsl.2015.09.053" TargetMode="External"/><Relationship Id="rId34" Type="http://schemas.openxmlformats.org/officeDocument/2006/relationships/hyperlink" Target="https://doi.org/10.1016/j.gsf.2018.04.001" TargetMode="Externa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hyperlink" Target="https://doi.org/10.2138/am-1999-0903" TargetMode="External"/><Relationship Id="rId33" Type="http://schemas.openxmlformats.org/officeDocument/2006/relationships/hyperlink" Target="https://doi.org/10.1016/j.chemgeo.2017.03.002"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s://doi.org/10.1016/j.chemgeo.2013.11.006" TargetMode="External"/><Relationship Id="rId29" Type="http://schemas.openxmlformats.org/officeDocument/2006/relationships/hyperlink" Target="https://doi.org/10.1016/0012-821X(95)00058-K"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hyperlink" Target="https://doi.org/10.2138/rmg.2002.48.1" TargetMode="External"/><Relationship Id="rId32" Type="http://schemas.openxmlformats.org/officeDocument/2006/relationships/hyperlink" Target="https://doi.org/10.1080/08120099508728190"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hyperlink" Target="https://doi.org/10.1016/j.gr.2019.01.011" TargetMode="External"/><Relationship Id="rId28" Type="http://schemas.openxmlformats.org/officeDocument/2006/relationships/hyperlink" Target="https://doi.org/10.1016/j.chemgeo.2004.10.002" TargetMode="External"/><Relationship Id="rId36"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hyperlink" Target="https://doi.org/10.1016/j.chemgeo.2016.03.028" TargetMode="External"/><Relationship Id="rId31" Type="http://schemas.openxmlformats.org/officeDocument/2006/relationships/hyperlink" Target="https://doi.org/10.1007/s00410-006-0077-4"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s://doi.org/10.1029/2011jb008825" TargetMode="External"/><Relationship Id="rId27" Type="http://schemas.openxmlformats.org/officeDocument/2006/relationships/hyperlink" Target="https://doi.org/10.1016/0009-2541(94)00140-4" TargetMode="External"/><Relationship Id="rId30" Type="http://schemas.openxmlformats.org/officeDocument/2006/relationships/hyperlink" Target="https://doi.org/10.2138/rmg.2002.48.2"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256</TotalTime>
  <Pages>19</Pages>
  <Words>3524</Words>
  <Characters>20088</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The University of Adelaide</Company>
  <LinksUpToDate>false</LinksUpToDate>
  <CharactersWithSpaces>23565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Angus Leslie Nixon</dc:creator>
  <cp:keywords/>
  <dc:description/>
  <cp:lastModifiedBy>Angus Leslie Nixon</cp:lastModifiedBy>
  <cp:revision>39</cp:revision>
  <dcterms:created xsi:type="dcterms:W3CDTF">2020-08-27T08:29:00Z</dcterms:created>
  <dcterms:modified xsi:type="dcterms:W3CDTF">2020-11-11T07:11:00Z</dcterms:modified>
</cp:coreProperties>
</file>