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99AD" w14:textId="6FC1140A" w:rsidR="00203302" w:rsidRDefault="00203302" w:rsidP="00D0294E">
      <w:pPr>
        <w:spacing w:line="48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Jgs2</w:t>
      </w:r>
      <w:r w:rsidR="000344C4">
        <w:rPr>
          <w:rFonts w:cs="Calibri"/>
          <w:b/>
          <w:sz w:val="24"/>
        </w:rPr>
        <w:t>020</w:t>
      </w:r>
      <w:r>
        <w:rPr>
          <w:rFonts w:cs="Calibri"/>
          <w:b/>
          <w:sz w:val="24"/>
        </w:rPr>
        <w:t>_</w:t>
      </w:r>
      <w:r w:rsidR="000344C4">
        <w:rPr>
          <w:rFonts w:cs="Calibri"/>
          <w:b/>
          <w:sz w:val="24"/>
        </w:rPr>
        <w:t>101</w:t>
      </w:r>
      <w:r>
        <w:rPr>
          <w:rFonts w:cs="Calibri"/>
          <w:b/>
          <w:sz w:val="24"/>
        </w:rPr>
        <w:t xml:space="preserve"> Campbell et al.</w:t>
      </w:r>
    </w:p>
    <w:p w14:paraId="62694535" w14:textId="244B5323" w:rsidR="00D0294E" w:rsidRPr="00D0294E" w:rsidRDefault="00D0294E" w:rsidP="00D0294E">
      <w:pPr>
        <w:spacing w:line="480" w:lineRule="auto"/>
        <w:jc w:val="both"/>
        <w:rPr>
          <w:rFonts w:cs="Calibri"/>
          <w:b/>
          <w:sz w:val="24"/>
        </w:rPr>
      </w:pPr>
      <w:r w:rsidRPr="00D0294E">
        <w:rPr>
          <w:rFonts w:cs="Calibri"/>
          <w:b/>
          <w:sz w:val="24"/>
        </w:rPr>
        <w:t xml:space="preserve">Stress fields of ancient seismicity recorded in the dynamic geometry of pseudotachylyte </w:t>
      </w:r>
      <w:r w:rsidR="000344C4">
        <w:rPr>
          <w:rFonts w:cs="Calibri"/>
          <w:b/>
          <w:sz w:val="24"/>
        </w:rPr>
        <w:t xml:space="preserve"> in the Outer Hebrides Fault Zone, UK</w:t>
      </w:r>
    </w:p>
    <w:p w14:paraId="7B90E767" w14:textId="77777777" w:rsidR="00A22FE5" w:rsidRDefault="00D0294E">
      <w:pPr>
        <w:rPr>
          <w:b/>
          <w:sz w:val="24"/>
        </w:rPr>
      </w:pPr>
      <w:r w:rsidRPr="00D0294E">
        <w:rPr>
          <w:b/>
          <w:sz w:val="24"/>
        </w:rPr>
        <w:t>Supplementary Information</w:t>
      </w:r>
    </w:p>
    <w:p w14:paraId="010A62DE" w14:textId="77777777" w:rsidR="00D0294E" w:rsidRPr="00C96A9A" w:rsidRDefault="00203302" w:rsidP="00D0294E">
      <w:pPr>
        <w:spacing w:line="360" w:lineRule="auto"/>
        <w:rPr>
          <w:b/>
        </w:rPr>
      </w:pPr>
      <w:r>
        <w:rPr>
          <w:b/>
        </w:rPr>
        <w:t>Supplementary part 1</w:t>
      </w:r>
      <w:r w:rsidR="00D0294E">
        <w:rPr>
          <w:b/>
        </w:rPr>
        <w:t>: Palaeostress</w:t>
      </w:r>
      <w:r w:rsidR="00D0294E" w:rsidRPr="00C96A9A">
        <w:rPr>
          <w:b/>
        </w:rPr>
        <w:t xml:space="preserve"> inversion parameters and se</w:t>
      </w:r>
      <w:r w:rsidR="00D0294E">
        <w:rPr>
          <w:b/>
        </w:rPr>
        <w:t>nsitivity a</w:t>
      </w:r>
      <w:r w:rsidR="00D0294E" w:rsidRPr="00C96A9A">
        <w:rPr>
          <w:b/>
        </w:rPr>
        <w:t>nalysis</w:t>
      </w:r>
    </w:p>
    <w:p w14:paraId="067F8949" w14:textId="77777777" w:rsidR="00D0294E" w:rsidRDefault="00D0294E" w:rsidP="00D0294E">
      <w:pPr>
        <w:spacing w:line="360" w:lineRule="auto"/>
        <w:jc w:val="both"/>
      </w:pPr>
      <w:r>
        <w:t xml:space="preserve">The input parameters set in the palaeostress analysis software “T-Tecto” for inverse analysis include; q1 , the angle of slope for the Mohr’s circle failure lines for intact failure (this approximates the tangent to the Mohr’s circle of a failure line incorporating cohesive strength); q2, the angle of slope for frictional sliding of an existing surface; the stress parameter; </w:t>
      </w:r>
      <w:r w:rsidRPr="00945AB4">
        <w:rPr>
          <w:i/>
        </w:rPr>
        <w:t>d</w:t>
      </w:r>
      <w:r>
        <w:t xml:space="preserve">, the threshold value for mechanical compatibility; </w:t>
      </w:r>
      <w:r w:rsidRPr="00945AB4">
        <w:rPr>
          <w:i/>
        </w:rPr>
        <w:t>s</w:t>
      </w:r>
      <w:r>
        <w:t xml:space="preserve">, the dispersion parameter for the distribution of angular misfit between the ideal and real slip directions along the faults used to construct the stress tensor; and </w:t>
      </w:r>
      <w:r w:rsidRPr="00945AB4">
        <w:rPr>
          <w:i/>
        </w:rPr>
        <w:t>α</w:t>
      </w:r>
      <w:r>
        <w:t xml:space="preserve">, the angular misfit allowed for faults to be attributed to the stress tensor. </w:t>
      </w:r>
      <w:r w:rsidRPr="00AB0AF2">
        <w:rPr>
          <w:i/>
        </w:rPr>
        <w:t>d</w:t>
      </w:r>
      <w:r>
        <w:t xml:space="preserve"> is calculated using </w:t>
      </w:r>
      <w:r w:rsidRPr="00AB0AF2">
        <w:rPr>
          <w:i/>
        </w:rPr>
        <w:t>α</w:t>
      </w:r>
      <w:r>
        <w:t xml:space="preserve">, </w:t>
      </w:r>
      <w:r w:rsidRPr="00AB0AF2">
        <w:rPr>
          <w:i/>
        </w:rPr>
        <w:t>q</w:t>
      </w:r>
      <w:r w:rsidRPr="00AB0AF2">
        <w:rPr>
          <w:i/>
          <w:vertAlign w:val="subscript"/>
        </w:rPr>
        <w:t>1</w:t>
      </w:r>
      <w:r>
        <w:t xml:space="preserve">, </w:t>
      </w:r>
      <w:r w:rsidRPr="00AB0AF2">
        <w:rPr>
          <w:i/>
        </w:rPr>
        <w:t>q</w:t>
      </w:r>
      <w:r w:rsidRPr="00AB0AF2">
        <w:rPr>
          <w:i/>
          <w:vertAlign w:val="subscript"/>
        </w:rPr>
        <w:t>2</w:t>
      </w:r>
      <w:r>
        <w:t xml:space="preserve"> and </w:t>
      </w:r>
      <w:r w:rsidRPr="00AB0AF2">
        <w:rPr>
          <w:i/>
        </w:rPr>
        <w:t xml:space="preserve">s </w:t>
      </w:r>
      <w:r>
        <w:t xml:space="preserve">and cannot be smaller than </w:t>
      </w:r>
      <w:r w:rsidRPr="00AB0AF2">
        <w:rPr>
          <w:i/>
        </w:rPr>
        <w:t>α</w:t>
      </w:r>
      <w:r>
        <w:t>.</w:t>
      </w:r>
    </w:p>
    <w:p w14:paraId="65C2768E" w14:textId="77777777" w:rsidR="00D0294E" w:rsidRDefault="00D0294E" w:rsidP="00D0294E">
      <w:pPr>
        <w:spacing w:line="360" w:lineRule="auto"/>
        <w:jc w:val="both"/>
      </w:pPr>
      <w:r>
        <w:t>F</w:t>
      </w:r>
      <w:r w:rsidR="001E2A67">
        <w:t xml:space="preserve">or the published results we set the parameters as </w:t>
      </w:r>
      <w:r w:rsidRPr="00AB0AF2">
        <w:rPr>
          <w:rFonts w:cstheme="minorHAnsi"/>
          <w:i/>
        </w:rPr>
        <w:t>α</w:t>
      </w:r>
      <w:r>
        <w:t xml:space="preserve"> = 30°</w:t>
      </w:r>
      <w:r w:rsidRPr="00AB0AF2">
        <w:rPr>
          <w:i/>
        </w:rPr>
        <w:t>, s</w:t>
      </w:r>
      <w:r>
        <w:t xml:space="preserve"> = 30, </w:t>
      </w:r>
      <w:r w:rsidRPr="00C84A39">
        <w:rPr>
          <w:i/>
        </w:rPr>
        <w:t>d</w:t>
      </w:r>
      <w:r w:rsidR="0083152E">
        <w:t xml:space="preserve"> = 3</w:t>
      </w:r>
      <w:r w:rsidRPr="00C84A39">
        <w:t>0</w:t>
      </w:r>
      <w:r w:rsidRPr="00AB0AF2">
        <w:rPr>
          <w:i/>
        </w:rPr>
        <w:t>, q</w:t>
      </w:r>
      <w:r w:rsidRPr="00AB0AF2">
        <w:rPr>
          <w:i/>
          <w:vertAlign w:val="subscript"/>
        </w:rPr>
        <w:t>1</w:t>
      </w:r>
      <w:r w:rsidRPr="00AB0AF2">
        <w:rPr>
          <w:vertAlign w:val="subscript"/>
        </w:rPr>
        <w:t xml:space="preserve"> </w:t>
      </w:r>
      <w:r>
        <w:t xml:space="preserve">= 40°, </w:t>
      </w:r>
      <w:r w:rsidRPr="00AB0AF2">
        <w:rPr>
          <w:i/>
        </w:rPr>
        <w:t>q</w:t>
      </w:r>
      <w:r w:rsidRPr="00AB0AF2">
        <w:rPr>
          <w:i/>
          <w:vertAlign w:val="subscript"/>
        </w:rPr>
        <w:t>2</w:t>
      </w:r>
      <w:r w:rsidRPr="00AB0AF2">
        <w:rPr>
          <w:vertAlign w:val="subscript"/>
        </w:rPr>
        <w:t xml:space="preserve"> </w:t>
      </w:r>
      <w:r>
        <w:t xml:space="preserve">= 20°. We use a </w:t>
      </w:r>
      <w:r w:rsidR="001E2A67">
        <w:t>moderately</w:t>
      </w:r>
      <w:r>
        <w:t xml:space="preserve"> large value for α because we expect some heterog</w:t>
      </w:r>
      <w:r w:rsidR="001E2A67">
        <w:t xml:space="preserve">eneity in the fault orientation and/or </w:t>
      </w:r>
      <w:r>
        <w:t>slip direction across the large spatial area considered in this study</w:t>
      </w:r>
      <w:r w:rsidR="001E2A67">
        <w:t xml:space="preserve">, which </w:t>
      </w:r>
      <w:r>
        <w:t xml:space="preserve"> might arise from the variable orientation of major fault structures or from temporal variations following nearby slip events. We also consider that with smaller values of </w:t>
      </w:r>
      <w:r w:rsidRPr="001E2A67">
        <w:rPr>
          <w:i/>
        </w:rPr>
        <w:t>α</w:t>
      </w:r>
      <w:r>
        <w:t xml:space="preserve"> and </w:t>
      </w:r>
      <w:r w:rsidRPr="001E2A67">
        <w:rPr>
          <w:i/>
        </w:rPr>
        <w:t>d</w:t>
      </w:r>
      <w:r>
        <w:t xml:space="preserve">, increasing numbers of stress tensors are required to explain the fault slip dataset (see below), resulting in </w:t>
      </w:r>
      <w:r w:rsidR="001E2A67">
        <w:t>ever-</w:t>
      </w:r>
      <w:r>
        <w:t>small</w:t>
      </w:r>
      <w:r w:rsidR="001E2A67">
        <w:t>er</w:t>
      </w:r>
      <w:r>
        <w:t xml:space="preserve"> numbers of fault</w:t>
      </w:r>
      <w:r w:rsidR="001E2A67">
        <w:t>s</w:t>
      </w:r>
      <w:r>
        <w:t xml:space="preserve"> being attributable to each stress tensor</w:t>
      </w:r>
      <w:r w:rsidR="001E2A67">
        <w:t>, potentially</w:t>
      </w:r>
      <w:r>
        <w:t xml:space="preserve"> render</w:t>
      </w:r>
      <w:r w:rsidR="001E2A67">
        <w:t>ing</w:t>
      </w:r>
      <w:r>
        <w:t xml:space="preserve"> the stress tensor unstable (typically if n</w:t>
      </w:r>
      <w:r w:rsidR="000A462B">
        <w:t xml:space="preserve"> </w:t>
      </w:r>
      <w:r>
        <w:t>&lt; 9, Orife &amp; Lisle, 2006).</w:t>
      </w:r>
      <w:r w:rsidR="001E2A67">
        <w:t xml:space="preserve"> Hence, we do not restrict </w:t>
      </w:r>
      <w:r w:rsidR="001E2A67" w:rsidRPr="001E2A67">
        <w:rPr>
          <w:rFonts w:cstheme="minorHAnsi"/>
          <w:i/>
        </w:rPr>
        <w:t>α</w:t>
      </w:r>
      <w:r w:rsidR="001E2A67">
        <w:t xml:space="preserve"> and </w:t>
      </w:r>
      <w:r w:rsidR="001E2A67" w:rsidRPr="001E2A67">
        <w:rPr>
          <w:i/>
        </w:rPr>
        <w:t>d</w:t>
      </w:r>
      <w:r w:rsidR="001E2A67">
        <w:t xml:space="preserve"> too far. </w:t>
      </w:r>
    </w:p>
    <w:p w14:paraId="704B2465" w14:textId="77777777" w:rsidR="00D0294E" w:rsidRDefault="00D0294E" w:rsidP="00D0294E">
      <w:pPr>
        <w:spacing w:line="360" w:lineRule="auto"/>
        <w:jc w:val="both"/>
      </w:pPr>
      <w:r>
        <w:t>We tested the stability of the published results in response to ch</w:t>
      </w:r>
      <w:r w:rsidR="001E2A67">
        <w:t>anges in the input parameters. Increasing</w:t>
      </w:r>
      <w:r w:rsidRPr="00A376C4">
        <w:rPr>
          <w:i/>
        </w:rPr>
        <w:t xml:space="preserve"> d</w:t>
      </w:r>
      <w:r>
        <w:t xml:space="preserve"> to</w:t>
      </w:r>
      <w:r w:rsidR="001E2A67">
        <w:t xml:space="preserve"> 60 whilst </w:t>
      </w:r>
      <w:r>
        <w:t>keepin</w:t>
      </w:r>
      <w:r w:rsidR="001E2A67">
        <w:t>g all other parameters constant</w:t>
      </w:r>
      <w:r>
        <w:t xml:space="preserve"> produces very similar strike slip and compressional stress tensors to the </w:t>
      </w:r>
      <w:r w:rsidRPr="006A77BC">
        <w:rPr>
          <w:i/>
        </w:rPr>
        <w:t>d</w:t>
      </w:r>
      <w:r w:rsidR="001E2A67">
        <w:t xml:space="preserve"> = 3</w:t>
      </w:r>
      <w:r>
        <w:t>0 results</w:t>
      </w:r>
      <w:r w:rsidR="000A462B">
        <w:t xml:space="preserve"> (Supp. Fig. 1). The extension-dominant strike-slip</w:t>
      </w:r>
      <w:r>
        <w:t xml:space="preserve"> stress tensor in the manuscript </w:t>
      </w:r>
      <w:r w:rsidR="000A462B">
        <w:t xml:space="preserve">(the orange paleaostress solution in Fig. 8) </w:t>
      </w:r>
      <w:r>
        <w:t xml:space="preserve">is a </w:t>
      </w:r>
      <w:r w:rsidR="000A462B">
        <w:t>true extensional stress</w:t>
      </w:r>
      <w:r>
        <w:t xml:space="preserve"> tensor when </w:t>
      </w:r>
      <w:r w:rsidRPr="006A77BC">
        <w:rPr>
          <w:i/>
        </w:rPr>
        <w:t>d</w:t>
      </w:r>
      <w:r w:rsidR="000A462B">
        <w:t xml:space="preserve"> = 6</w:t>
      </w:r>
      <w:r>
        <w:t>0, although the principal stress orientations are the same and σ</w:t>
      </w:r>
      <w:r w:rsidRPr="006A77BC">
        <w:rPr>
          <w:vertAlign w:val="subscript"/>
        </w:rPr>
        <w:t xml:space="preserve">1 </w:t>
      </w:r>
      <w:r>
        <w:t>and σ</w:t>
      </w:r>
      <w:r w:rsidRPr="006A77BC">
        <w:rPr>
          <w:vertAlign w:val="subscript"/>
        </w:rPr>
        <w:t>2</w:t>
      </w:r>
      <w:r>
        <w:t xml:space="preserve"> (which have similar magnitude) have merely switched – hence we do consider this </w:t>
      </w:r>
      <w:r w:rsidR="000A462B">
        <w:t>consistent with our interpretation in</w:t>
      </w:r>
      <w:r>
        <w:t xml:space="preserve"> the manuscript. Decreasing</w:t>
      </w:r>
      <w:r w:rsidRPr="006A77BC">
        <w:rPr>
          <w:i/>
        </w:rPr>
        <w:t xml:space="preserve"> d</w:t>
      </w:r>
      <w:r>
        <w:t xml:space="preserve"> to 15 (meaning α is also </w:t>
      </w:r>
      <w:r w:rsidR="000A462B">
        <w:t>restricted to</w:t>
      </w:r>
      <w:r>
        <w:t xml:space="preserve"> a maximum of 15°) does generate some significant changes in the stress tensor results; three compressional fields are now def</w:t>
      </w:r>
      <w:r w:rsidR="00C035F0">
        <w:t>ined, with NW-SE, NNE-SSW and E</w:t>
      </w:r>
      <w:r>
        <w:t>-W orientations for σ</w:t>
      </w:r>
      <w:r w:rsidR="00C035F0" w:rsidRPr="00C035F0">
        <w:rPr>
          <w:vertAlign w:val="subscript"/>
        </w:rPr>
        <w:t>1</w:t>
      </w:r>
      <w:r w:rsidRPr="00C035F0">
        <w:t xml:space="preserve">, </w:t>
      </w:r>
      <w:r w:rsidR="00C035F0">
        <w:t>plus two strike-</w:t>
      </w:r>
      <w:r>
        <w:t xml:space="preserve">slip fields, one of which is very similar to the strike-slip stress tensor produced at higher values of </w:t>
      </w:r>
      <w:r w:rsidRPr="0026004A">
        <w:rPr>
          <w:i/>
        </w:rPr>
        <w:t>d</w:t>
      </w:r>
      <w:r w:rsidR="00C035F0">
        <w:rPr>
          <w:i/>
        </w:rPr>
        <w:t xml:space="preserve"> </w:t>
      </w:r>
      <w:r w:rsidR="00C035F0" w:rsidRPr="00C035F0">
        <w:t xml:space="preserve">with ENE-WNW </w:t>
      </w:r>
      <w:r w:rsidR="00C035F0" w:rsidRPr="00C035F0">
        <w:rPr>
          <w:rFonts w:cstheme="minorHAnsi"/>
        </w:rPr>
        <w:t>σ</w:t>
      </w:r>
      <w:r w:rsidR="00C035F0" w:rsidRPr="00C035F0">
        <w:rPr>
          <w:vertAlign w:val="subscript"/>
        </w:rPr>
        <w:t>3</w:t>
      </w:r>
      <w:r w:rsidR="00C035F0">
        <w:rPr>
          <w:i/>
        </w:rPr>
        <w:t xml:space="preserve"> </w:t>
      </w:r>
      <w:r>
        <w:lastRenderedPageBreak/>
        <w:t>(Supp. F</w:t>
      </w:r>
      <w:r w:rsidRPr="0080579D">
        <w:t>ig. 1).</w:t>
      </w:r>
      <w:r>
        <w:t xml:space="preserve"> In each of these stress tensors, the number of compatible faults is never higher than n = 7. We therefore consider that these subsets have become too fragmented to reliably interpret (Nemcok &amp; Lisle, 1995) and prefer to use </w:t>
      </w:r>
      <w:r w:rsidRPr="00E410EF">
        <w:rPr>
          <w:i/>
        </w:rPr>
        <w:t>d</w:t>
      </w:r>
      <w:r>
        <w:t xml:space="preserve"> = 60 since it produces similar results to </w:t>
      </w:r>
      <w:r w:rsidRPr="00A376C4">
        <w:rPr>
          <w:i/>
        </w:rPr>
        <w:t xml:space="preserve">d </w:t>
      </w:r>
      <w:r w:rsidRPr="00A376C4">
        <w:t xml:space="preserve">= </w:t>
      </w:r>
      <w:r>
        <w:t xml:space="preserve">30.  Using a higher </w:t>
      </w:r>
      <w:r w:rsidRPr="00E410EF">
        <w:rPr>
          <w:i/>
        </w:rPr>
        <w:t>d</w:t>
      </w:r>
      <w:r>
        <w:t xml:space="preserve"> value also allows us to increase </w:t>
      </w:r>
      <w:r w:rsidRPr="00E410EF">
        <w:rPr>
          <w:i/>
        </w:rPr>
        <w:t>α</w:t>
      </w:r>
      <w:r>
        <w:t xml:space="preserve"> to 30 to incorporate faults with greater misfits in the slip directions. </w:t>
      </w:r>
    </w:p>
    <w:p w14:paraId="0DC02C7B" w14:textId="77777777" w:rsidR="00D0294E" w:rsidRDefault="00D0294E" w:rsidP="00D0294E">
      <w:pPr>
        <w:spacing w:line="360" w:lineRule="auto"/>
        <w:jc w:val="both"/>
      </w:pPr>
      <w:r>
        <w:t xml:space="preserve">Decreasing </w:t>
      </w:r>
      <w:r w:rsidRPr="00C035F0">
        <w:rPr>
          <w:i/>
        </w:rPr>
        <w:t>s</w:t>
      </w:r>
      <w:r>
        <w:t xml:space="preserve"> to 15 produces similar results to </w:t>
      </w:r>
      <w:r w:rsidRPr="00C035F0">
        <w:rPr>
          <w:i/>
        </w:rPr>
        <w:t>s</w:t>
      </w:r>
      <w:r>
        <w:t xml:space="preserve"> = 30</w:t>
      </w:r>
      <w:r w:rsidR="00C035F0">
        <w:t>,</w:t>
      </w:r>
      <w:r>
        <w:t xml:space="preserve"> except that an extra compressional field with NW-SE σ</w:t>
      </w:r>
      <w:r w:rsidRPr="00A376C4">
        <w:rPr>
          <w:vertAlign w:val="subscript"/>
        </w:rPr>
        <w:t>1</w:t>
      </w:r>
      <w:r>
        <w:t xml:space="preserve"> is generated to explain the population of NE-dipping strike slip faults (Supp. Fig. 1). With a smaller </w:t>
      </w:r>
      <w:r w:rsidRPr="00C035F0">
        <w:rPr>
          <w:i/>
        </w:rPr>
        <w:t>s</w:t>
      </w:r>
      <w:r>
        <w:t xml:space="preserve">, even if </w:t>
      </w:r>
      <w:r w:rsidRPr="00C035F0">
        <w:rPr>
          <w:i/>
        </w:rPr>
        <w:t>d</w:t>
      </w:r>
      <w:r>
        <w:t xml:space="preserve"> is relatively large, the stress tensor is influenced more by results that cluster closer to ideal mechanical compatibility (Fig. 2 in Žalohar &amp; Vrabec, 2007). We therefore consider that this rotation of compression may in fact suggest a real feature of the OHFZ deformation history. </w:t>
      </w:r>
    </w:p>
    <w:p w14:paraId="207732D7" w14:textId="77777777" w:rsidR="00D0294E" w:rsidRDefault="00D0294E" w:rsidP="00D0294E">
      <w:pPr>
        <w:spacing w:line="360" w:lineRule="auto"/>
        <w:jc w:val="both"/>
      </w:pPr>
      <w:r w:rsidRPr="00C035F0">
        <w:rPr>
          <w:i/>
        </w:rPr>
        <w:t>q</w:t>
      </w:r>
      <w:r w:rsidRPr="00C035F0">
        <w:rPr>
          <w:i/>
          <w:vertAlign w:val="subscript"/>
        </w:rPr>
        <w:t>2</w:t>
      </w:r>
      <w:r>
        <w:t xml:space="preserve"> is kept at 20° to represent a lower-bound strength of some surface that theoretically might be reactivated as a slip surface, for example the foliation, although we argue against this in general for the OHFZ pseudotachylyte faults. </w:t>
      </w:r>
      <w:r w:rsidRPr="00C035F0">
        <w:rPr>
          <w:i/>
        </w:rPr>
        <w:t>q</w:t>
      </w:r>
      <w:r w:rsidRPr="00C035F0">
        <w:rPr>
          <w:i/>
          <w:vertAlign w:val="subscript"/>
        </w:rPr>
        <w:t>1</w:t>
      </w:r>
      <w:r>
        <w:t xml:space="preserve"> is chosen at 40° but could be increased to reflect higher values of cohesion and/or higher differential strength of the rock (i.e. a larger Mohrs circle). At q</w:t>
      </w:r>
      <w:r w:rsidRPr="00CB01F1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307030">
        <w:t xml:space="preserve">= </w:t>
      </w:r>
      <w:r>
        <w:t>5</w:t>
      </w:r>
      <w:r w:rsidRPr="00307030">
        <w:t>0</w:t>
      </w:r>
      <w:r>
        <w:t xml:space="preserve">°, the stress tensors are very similar to </w:t>
      </w:r>
      <w:r w:rsidRPr="00C035F0">
        <w:rPr>
          <w:i/>
        </w:rPr>
        <w:t>q</w:t>
      </w:r>
      <w:r w:rsidRPr="00C035F0"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 w:rsidRPr="00307030">
        <w:t xml:space="preserve">= </w:t>
      </w:r>
      <w:r>
        <w:t>4</w:t>
      </w:r>
      <w:r w:rsidRPr="00307030">
        <w:t>0</w:t>
      </w:r>
      <w:r>
        <w:t xml:space="preserve">°, however at </w:t>
      </w:r>
      <w:r w:rsidRPr="00C035F0">
        <w:rPr>
          <w:i/>
        </w:rPr>
        <w:t>q</w:t>
      </w:r>
      <w:r w:rsidRPr="00C035F0">
        <w:rPr>
          <w:i/>
          <w:vertAlign w:val="subscript"/>
        </w:rPr>
        <w:t>1</w:t>
      </w:r>
      <w:r>
        <w:rPr>
          <w:vertAlign w:val="subscript"/>
        </w:rPr>
        <w:t xml:space="preserve"> </w:t>
      </w:r>
      <w:r w:rsidRPr="00307030">
        <w:t xml:space="preserve">= </w:t>
      </w:r>
      <w:r>
        <w:t>6</w:t>
      </w:r>
      <w:r w:rsidRPr="00307030">
        <w:t>0</w:t>
      </w:r>
      <w:r>
        <w:t>°, an additional compressional stress tensor is introduced with σ</w:t>
      </w:r>
      <w:r w:rsidRPr="00AC2FE6">
        <w:rPr>
          <w:vertAlign w:val="subscript"/>
        </w:rPr>
        <w:t>1</w:t>
      </w:r>
      <w:r>
        <w:t xml:space="preserve"> trending WNW-ESE. This seems to replace the strike slip stress field as the remaining stress tensor with &gt; 3 faults attributed has principal stress orientations similar to other iterations (Supp. Fig. 1). </w:t>
      </w:r>
    </w:p>
    <w:p w14:paraId="17E638E0" w14:textId="77777777" w:rsidR="00A22FE5" w:rsidRDefault="00357997">
      <w:r>
        <w:rPr>
          <w:noProof/>
          <w:lang w:eastAsia="en-GB"/>
        </w:rPr>
        <w:lastRenderedPageBreak/>
        <w:drawing>
          <wp:inline distT="0" distB="0" distL="0" distR="0" wp14:anchorId="5CE71F23" wp14:editId="29A274E2">
            <wp:extent cx="5731510" cy="761662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A9E3" w14:textId="77777777" w:rsidR="00357997" w:rsidRDefault="00357997"/>
    <w:p w14:paraId="5E22525D" w14:textId="77777777" w:rsidR="00357997" w:rsidRDefault="00357997" w:rsidP="00357997">
      <w:r>
        <w:t xml:space="preserve">Supplementary Figure 1. Stress tensor solutions using variable parameters. Only solutions compatible with ≥ 4 faults are shown. </w:t>
      </w:r>
    </w:p>
    <w:p w14:paraId="65BE9F03" w14:textId="77777777" w:rsidR="00357997" w:rsidRDefault="00357997"/>
    <w:sectPr w:rsidR="0035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85"/>
    <w:rsid w:val="000344C4"/>
    <w:rsid w:val="000442E7"/>
    <w:rsid w:val="000A462B"/>
    <w:rsid w:val="000C510B"/>
    <w:rsid w:val="000F13AE"/>
    <w:rsid w:val="000F4185"/>
    <w:rsid w:val="0018599E"/>
    <w:rsid w:val="001C060F"/>
    <w:rsid w:val="001E2A67"/>
    <w:rsid w:val="00203302"/>
    <w:rsid w:val="0026004A"/>
    <w:rsid w:val="002E72F0"/>
    <w:rsid w:val="00300487"/>
    <w:rsid w:val="00307030"/>
    <w:rsid w:val="00357997"/>
    <w:rsid w:val="005B6137"/>
    <w:rsid w:val="005D18DF"/>
    <w:rsid w:val="006220C8"/>
    <w:rsid w:val="006654D0"/>
    <w:rsid w:val="00684EC7"/>
    <w:rsid w:val="006A77BC"/>
    <w:rsid w:val="006C127F"/>
    <w:rsid w:val="006C1F79"/>
    <w:rsid w:val="006E7958"/>
    <w:rsid w:val="00790103"/>
    <w:rsid w:val="0080579D"/>
    <w:rsid w:val="0083152E"/>
    <w:rsid w:val="008354F3"/>
    <w:rsid w:val="008B2AD9"/>
    <w:rsid w:val="008C2110"/>
    <w:rsid w:val="008E79CC"/>
    <w:rsid w:val="008F6865"/>
    <w:rsid w:val="00945921"/>
    <w:rsid w:val="00945AB4"/>
    <w:rsid w:val="009B11B9"/>
    <w:rsid w:val="00A22FE5"/>
    <w:rsid w:val="00A33B61"/>
    <w:rsid w:val="00A376C4"/>
    <w:rsid w:val="00A8087D"/>
    <w:rsid w:val="00AB0AF2"/>
    <w:rsid w:val="00AC2FE6"/>
    <w:rsid w:val="00B4318D"/>
    <w:rsid w:val="00B912E9"/>
    <w:rsid w:val="00BE7AD2"/>
    <w:rsid w:val="00C035F0"/>
    <w:rsid w:val="00C2606A"/>
    <w:rsid w:val="00C53E47"/>
    <w:rsid w:val="00C84A39"/>
    <w:rsid w:val="00C96A9A"/>
    <w:rsid w:val="00C96B6D"/>
    <w:rsid w:val="00CB01F1"/>
    <w:rsid w:val="00D0294E"/>
    <w:rsid w:val="00D559B3"/>
    <w:rsid w:val="00D64156"/>
    <w:rsid w:val="00D65DE1"/>
    <w:rsid w:val="00DA7BBB"/>
    <w:rsid w:val="00DB4DA8"/>
    <w:rsid w:val="00E410EF"/>
    <w:rsid w:val="00E45569"/>
    <w:rsid w:val="00E85303"/>
    <w:rsid w:val="00F21804"/>
    <w:rsid w:val="00F67075"/>
    <w:rsid w:val="00F76B78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146A"/>
  <w15:chartTrackingRefBased/>
  <w15:docId w15:val="{AA827952-8B4F-4392-B442-69BF5F8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C1F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035F0"/>
    <w:rPr>
      <w:color w:val="808080"/>
    </w:rPr>
  </w:style>
  <w:style w:type="table" w:styleId="TableGrid">
    <w:name w:val="Table Grid"/>
    <w:basedOn w:val="TableNormal"/>
    <w:uiPriority w:val="39"/>
    <w:rsid w:val="008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Campbell</dc:creator>
  <cp:keywords/>
  <dc:description/>
  <cp:lastModifiedBy>Lucy Campbell</cp:lastModifiedBy>
  <cp:revision>5</cp:revision>
  <cp:lastPrinted>2020-01-30T16:35:00Z</cp:lastPrinted>
  <dcterms:created xsi:type="dcterms:W3CDTF">2020-05-26T10:18:00Z</dcterms:created>
  <dcterms:modified xsi:type="dcterms:W3CDTF">2020-09-22T13:56:00Z</dcterms:modified>
</cp:coreProperties>
</file>