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B2" w:rsidRPr="000E33B5" w:rsidRDefault="001F08B2" w:rsidP="008F64CF">
      <w:pPr>
        <w:spacing w:after="200" w:line="276" w:lineRule="auto"/>
        <w:rPr>
          <w:rFonts w:ascii="Times New Roman" w:hAnsi="Times New Roman"/>
          <w:b/>
          <w:sz w:val="24"/>
          <w:lang w:eastAsia="en-GB"/>
        </w:rPr>
      </w:pPr>
      <w:r w:rsidRPr="000E33B5">
        <w:rPr>
          <w:rFonts w:ascii="Times New Roman" w:hAnsi="Times New Roman"/>
          <w:b/>
          <w:sz w:val="24"/>
          <w:lang w:eastAsia="en-GB"/>
        </w:rPr>
        <w:t>Supplementary material 2. Tables showing anchor points used.</w:t>
      </w:r>
    </w:p>
    <w:p w:rsidR="00FC5588" w:rsidRDefault="00FC5588" w:rsidP="008F64CF">
      <w:pPr>
        <w:spacing w:after="200"/>
        <w:rPr>
          <w:rFonts w:ascii="Times New Roman" w:hAnsi="Times New Roman"/>
          <w:sz w:val="24"/>
          <w:lang w:eastAsia="en-GB"/>
        </w:rPr>
      </w:pPr>
    </w:p>
    <w:p w:rsidR="001F08B2" w:rsidRPr="008F64CF" w:rsidRDefault="001F08B2" w:rsidP="008F64CF">
      <w:pPr>
        <w:spacing w:after="200"/>
        <w:rPr>
          <w:rFonts w:ascii="Times New Roman" w:hAnsi="Times New Roman"/>
          <w:iCs/>
        </w:rPr>
      </w:pPr>
      <w:r>
        <w:rPr>
          <w:rFonts w:ascii="Times New Roman" w:hAnsi="Times New Roman"/>
          <w:sz w:val="24"/>
          <w:lang w:eastAsia="en-GB"/>
        </w:rPr>
        <w:t>Table 1.</w:t>
      </w:r>
    </w:p>
    <w:tbl>
      <w:tblPr>
        <w:tblW w:w="0" w:type="auto"/>
        <w:jc w:val="center"/>
        <w:tblBorders>
          <w:top w:val="single" w:sz="4" w:space="0" w:color="E7E6E6"/>
          <w:left w:val="single" w:sz="4" w:space="0" w:color="E7E6E6"/>
          <w:bottom w:val="single" w:sz="4" w:space="0" w:color="E7E6E6"/>
          <w:right w:val="single" w:sz="4" w:space="0" w:color="E7E6E6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3"/>
        <w:gridCol w:w="3005"/>
        <w:gridCol w:w="4668"/>
      </w:tblGrid>
      <w:tr w:rsidR="001F08B2" w:rsidRPr="00597E56">
        <w:trPr>
          <w:jc w:val="center"/>
        </w:trPr>
        <w:tc>
          <w:tcPr>
            <w:tcW w:w="0" w:type="auto"/>
            <w:gridSpan w:val="3"/>
            <w:tcBorders>
              <w:top w:val="single" w:sz="4" w:space="0" w:color="FFFFFF"/>
              <w:left w:val="nil"/>
              <w:bottom w:val="single" w:sz="4" w:space="0" w:color="7F7F7F"/>
              <w:right w:val="nil"/>
            </w:tcBorders>
          </w:tcPr>
          <w:p w:rsidR="001F08B2" w:rsidRPr="00597E56" w:rsidRDefault="001F08B2" w:rsidP="008F64CF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>Anchor points used for tuning in the Gerbe section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tcBorders>
              <w:top w:val="single" w:sz="4" w:space="0" w:color="7F7F7F"/>
              <w:left w:val="single" w:sz="4" w:space="0" w:color="FFFFFF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Stratigraphic height (m)</w:t>
            </w:r>
          </w:p>
        </w:tc>
        <w:tc>
          <w:tcPr>
            <w:tcW w:w="3084" w:type="dxa"/>
            <w:tcBorders>
              <w:top w:val="single" w:sz="4" w:space="0" w:color="7F7F7F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(Ma)</w:t>
            </w:r>
            <w:r w:rsidRPr="00597E56">
              <w:rPr>
                <w:rFonts w:ascii="Times New Roman" w:hAnsi="Times New Roman"/>
                <w:vertAlign w:val="superscript"/>
              </w:rPr>
              <w:t>♠</w:t>
            </w:r>
          </w:p>
        </w:tc>
        <w:tc>
          <w:tcPr>
            <w:tcW w:w="4790" w:type="dxa"/>
            <w:tcBorders>
              <w:top w:val="single" w:sz="4" w:space="0" w:color="7F7F7F"/>
              <w:left w:val="single" w:sz="4" w:space="0" w:color="F2F2F2"/>
              <w:bottom w:val="single" w:sz="4" w:space="0" w:color="F2F2F2"/>
              <w:right w:val="nil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Cycle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7.6</w:t>
            </w:r>
          </w:p>
        </w:tc>
        <w:tc>
          <w:tcPr>
            <w:tcW w:w="3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47.338</w:t>
            </w:r>
          </w:p>
        </w:tc>
        <w:tc>
          <w:tcPr>
            <w:tcW w:w="479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37.4</w:t>
            </w:r>
          </w:p>
        </w:tc>
        <w:tc>
          <w:tcPr>
            <w:tcW w:w="3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47.236</w:t>
            </w:r>
          </w:p>
        </w:tc>
        <w:tc>
          <w:tcPr>
            <w:tcW w:w="479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58.3</w:t>
            </w:r>
          </w:p>
        </w:tc>
        <w:tc>
          <w:tcPr>
            <w:tcW w:w="3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47.189</w:t>
            </w:r>
          </w:p>
        </w:tc>
        <w:tc>
          <w:tcPr>
            <w:tcW w:w="479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minima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102.5</w:t>
            </w:r>
          </w:p>
        </w:tc>
        <w:tc>
          <w:tcPr>
            <w:tcW w:w="30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47.082</w:t>
            </w:r>
          </w:p>
        </w:tc>
        <w:tc>
          <w:tcPr>
            <w:tcW w:w="479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nil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minima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tcBorders>
              <w:top w:val="single" w:sz="4" w:space="0" w:color="F2F2F2"/>
              <w:left w:val="single" w:sz="4" w:space="0" w:color="FFFFFF"/>
              <w:bottom w:val="single" w:sz="4" w:space="0" w:color="7F7F7F"/>
              <w:right w:val="single" w:sz="4" w:space="0" w:color="F2F2F2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179.5</w:t>
            </w:r>
          </w:p>
        </w:tc>
        <w:tc>
          <w:tcPr>
            <w:tcW w:w="3084" w:type="dxa"/>
            <w:tcBorders>
              <w:top w:val="single" w:sz="4" w:space="0" w:color="F2F2F2"/>
              <w:left w:val="single" w:sz="4" w:space="0" w:color="F2F2F2"/>
              <w:bottom w:val="single" w:sz="4" w:space="0" w:color="7F7F7F"/>
              <w:right w:val="single" w:sz="4" w:space="0" w:color="F2F2F2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46.960</w:t>
            </w:r>
          </w:p>
        </w:tc>
        <w:tc>
          <w:tcPr>
            <w:tcW w:w="4790" w:type="dxa"/>
            <w:tcBorders>
              <w:top w:val="single" w:sz="4" w:space="0" w:color="F2F2F2"/>
              <w:left w:val="single" w:sz="4" w:space="0" w:color="F2F2F2"/>
              <w:bottom w:val="single" w:sz="4" w:space="0" w:color="7F7F7F"/>
              <w:right w:val="nil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Eccentricity maxima 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gridSpan w:val="3"/>
            <w:tcBorders>
              <w:top w:val="single" w:sz="4" w:space="0" w:color="7F7F7F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 xml:space="preserve">5 anchor points employed to tune the Gerbe section to the eccentricity time scale. </w:t>
            </w:r>
            <w:r w:rsidRPr="00597E56">
              <w:rPr>
                <w:rFonts w:ascii="Times New Roman" w:hAnsi="Times New Roman"/>
                <w:iCs/>
                <w:vertAlign w:val="superscript"/>
              </w:rPr>
              <w:t>♠</w:t>
            </w:r>
            <w:r w:rsidRPr="00597E56">
              <w:rPr>
                <w:rFonts w:ascii="Times New Roman" w:hAnsi="Times New Roman"/>
                <w:iCs/>
              </w:rPr>
              <w:t xml:space="preserve">Ages obtained from the GPTS of Gradstein </w:t>
            </w:r>
            <w:r w:rsidRPr="00942DD3">
              <w:rPr>
                <w:rFonts w:ascii="Times New Roman" w:hAnsi="Times New Roman"/>
                <w:i/>
                <w:iCs/>
              </w:rPr>
              <w:t>et al.</w:t>
            </w:r>
            <w:r w:rsidRPr="00597E56">
              <w:rPr>
                <w:rFonts w:ascii="Times New Roman" w:hAnsi="Times New Roman"/>
                <w:iCs/>
              </w:rPr>
              <w:t xml:space="preserve"> (2012).</w:t>
            </w:r>
          </w:p>
        </w:tc>
      </w:tr>
      <w:tr w:rsidR="001F08B2" w:rsidRPr="00597E56">
        <w:trPr>
          <w:jc w:val="center"/>
        </w:trPr>
        <w:tc>
          <w:tcPr>
            <w:tcW w:w="0" w:type="auto"/>
            <w:gridSpan w:val="3"/>
            <w:tcBorders>
              <w:top w:val="single" w:sz="4" w:space="0" w:color="7F7F7F"/>
              <w:left w:val="nil"/>
              <w:bottom w:val="single" w:sz="4" w:space="0" w:color="FFFFFF"/>
              <w:right w:val="nil"/>
            </w:tcBorders>
            <w:shd w:val="clear" w:color="auto" w:fill="FFFFFF"/>
          </w:tcPr>
          <w:p w:rsidR="001F08B2" w:rsidRDefault="001F08B2" w:rsidP="008F64CF">
            <w:pPr>
              <w:spacing w:after="200" w:line="276" w:lineRule="auto"/>
              <w:rPr>
                <w:rFonts w:ascii="Times New Roman" w:hAnsi="Times New Roman"/>
                <w:sz w:val="24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E7E6E6"/>
                <w:left w:val="single" w:sz="4" w:space="0" w:color="E7E6E6"/>
                <w:bottom w:val="single" w:sz="4" w:space="0" w:color="E7E6E6"/>
                <w:right w:val="single" w:sz="4" w:space="0" w:color="E7E6E6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961"/>
              <w:gridCol w:w="2441"/>
              <w:gridCol w:w="2621"/>
            </w:tblGrid>
            <w:tr w:rsidR="001F08B2" w:rsidRPr="008F64CF">
              <w:tc>
                <w:tcPr>
                  <w:tcW w:w="8023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000000"/>
                    <w:right w:val="single" w:sz="4" w:space="0" w:color="FFFFFF"/>
                  </w:tcBorders>
                </w:tcPr>
                <w:p w:rsidR="001F08B2" w:rsidRPr="008F64CF" w:rsidRDefault="001F08B2" w:rsidP="008F64CF">
                  <w:pPr>
                    <w:spacing w:after="200"/>
                    <w:rPr>
                      <w:rFonts w:ascii="Times New Roman" w:hAnsi="Times New Roman"/>
                      <w:iCs/>
                    </w:rPr>
                  </w:pPr>
                  <w:r>
                    <w:rPr>
                      <w:rFonts w:ascii="Times New Roman" w:hAnsi="Times New Roman"/>
                      <w:sz w:val="24"/>
                      <w:lang w:eastAsia="en-GB"/>
                    </w:rPr>
                    <w:t>Table 2.</w:t>
                  </w:r>
                </w:p>
                <w:p w:rsidR="001F08B2" w:rsidRPr="00C910BC" w:rsidRDefault="001F08B2" w:rsidP="008F64CF">
                  <w:pPr>
                    <w:spacing w:after="200"/>
                    <w:rPr>
                      <w:rFonts w:ascii="Times New Roman" w:hAnsi="Times New Roman"/>
                      <w:b/>
                      <w:iCs/>
                    </w:rPr>
                  </w:pPr>
                  <w:r w:rsidRPr="00C910BC">
                    <w:rPr>
                      <w:rFonts w:ascii="Times New Roman" w:hAnsi="Times New Roman"/>
                      <w:b/>
                      <w:iCs/>
                    </w:rPr>
                    <w:t xml:space="preserve">Anchor points for tuning in </w:t>
                  </w:r>
                  <w:proofErr w:type="spellStart"/>
                  <w:r w:rsidRPr="00C910BC">
                    <w:rPr>
                      <w:rFonts w:ascii="Times New Roman" w:hAnsi="Times New Roman"/>
                      <w:b/>
                      <w:iCs/>
                    </w:rPr>
                    <w:t>Labuerda</w:t>
                  </w:r>
                  <w:proofErr w:type="spellEnd"/>
                  <w:r w:rsidRPr="00C910BC">
                    <w:rPr>
                      <w:rFonts w:ascii="Times New Roman" w:hAnsi="Times New Roman"/>
                      <w:b/>
                      <w:iCs/>
                    </w:rPr>
                    <w:t xml:space="preserve"> section 2.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000000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Height (m)</w:t>
                  </w:r>
                </w:p>
              </w:tc>
              <w:tc>
                <w:tcPr>
                  <w:tcW w:w="2441" w:type="dxa"/>
                  <w:tcBorders>
                    <w:top w:val="single" w:sz="4" w:space="0" w:color="000000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Age (Ma)</w:t>
                  </w:r>
                </w:p>
              </w:tc>
              <w:tc>
                <w:tcPr>
                  <w:tcW w:w="2621" w:type="dxa"/>
                  <w:tcBorders>
                    <w:top w:val="single" w:sz="4" w:space="0" w:color="000000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Cycle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34.974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46.098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maxima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71.958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97E56">
                    <w:rPr>
                      <w:rFonts w:ascii="Times New Roman" w:hAnsi="Times New Roman"/>
                    </w:rPr>
                    <w:t>.994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maxima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110.55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97E56">
                    <w:rPr>
                      <w:rFonts w:ascii="Times New Roman" w:hAnsi="Times New Roman"/>
                    </w:rPr>
                    <w:t>.891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maxima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166.026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97E56">
                    <w:rPr>
                      <w:rFonts w:ascii="Times New Roman" w:hAnsi="Times New Roman"/>
                    </w:rPr>
                    <w:t>.789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maxima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209.442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97E56">
                    <w:rPr>
                      <w:rFonts w:ascii="Times New Roman" w:hAnsi="Times New Roman"/>
                    </w:rPr>
                    <w:t>.618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 xml:space="preserve">Eccentricity maxima 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243.813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</w:rPr>
                    <w:t>45.</w:t>
                  </w:r>
                  <w:r w:rsidRPr="00597E56">
                    <w:rPr>
                      <w:rFonts w:ascii="Times New Roman" w:hAnsi="Times New Roman"/>
                    </w:rPr>
                    <w:t>512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maxima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277.38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97E56">
                    <w:rPr>
                      <w:rFonts w:ascii="Times New Roman" w:hAnsi="Times New Roman"/>
                    </w:rPr>
                    <w:t>.409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maxima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A5A5A5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314.771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97E56">
                    <w:rPr>
                      <w:rFonts w:ascii="Times New Roman" w:hAnsi="Times New Roman"/>
                    </w:rPr>
                    <w:t>.323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A5A5A5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maxima</w:t>
                  </w:r>
                </w:p>
              </w:tc>
            </w:tr>
            <w:tr w:rsidR="001F08B2" w:rsidRPr="00597E56">
              <w:tc>
                <w:tcPr>
                  <w:tcW w:w="2961" w:type="dxa"/>
                  <w:tcBorders>
                    <w:top w:val="single" w:sz="4" w:space="0" w:color="A5A5A5"/>
                    <w:left w:val="single" w:sz="4" w:space="0" w:color="FFFFFF"/>
                    <w:bottom w:val="single" w:sz="4" w:space="0" w:color="000000"/>
                    <w:right w:val="single" w:sz="4" w:space="0" w:color="A5A5A5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>356.976</w:t>
                  </w:r>
                </w:p>
              </w:tc>
              <w:tc>
                <w:tcPr>
                  <w:tcW w:w="244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000000"/>
                    <w:right w:val="single" w:sz="4" w:space="0" w:color="A5A5A5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</w:rPr>
                    <w:t>5</w:t>
                  </w:r>
                  <w:r w:rsidRPr="00597E56">
                    <w:rPr>
                      <w:rFonts w:ascii="Times New Roman" w:hAnsi="Times New Roman"/>
                    </w:rPr>
                    <w:t>.278</w:t>
                  </w:r>
                </w:p>
              </w:tc>
              <w:tc>
                <w:tcPr>
                  <w:tcW w:w="2621" w:type="dxa"/>
                  <w:tcBorders>
                    <w:top w:val="single" w:sz="4" w:space="0" w:color="A5A5A5"/>
                    <w:left w:val="single" w:sz="4" w:space="0" w:color="A5A5A5"/>
                    <w:bottom w:val="single" w:sz="4" w:space="0" w:color="000000"/>
                    <w:right w:val="single" w:sz="4" w:space="0" w:color="FFFFFF"/>
                  </w:tcBorders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</w:rPr>
                  </w:pPr>
                  <w:r w:rsidRPr="00597E56">
                    <w:rPr>
                      <w:rFonts w:ascii="Times New Roman" w:hAnsi="Times New Roman"/>
                    </w:rPr>
                    <w:t>Eccentricity minima</w:t>
                  </w:r>
                </w:p>
              </w:tc>
            </w:tr>
            <w:tr w:rsidR="001F08B2" w:rsidRPr="00597E56">
              <w:tc>
                <w:tcPr>
                  <w:tcW w:w="8023" w:type="dxa"/>
                  <w:gridSpan w:val="3"/>
                  <w:tcBorders>
                    <w:top w:val="single" w:sz="4" w:space="0" w:color="00000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1F08B2" w:rsidRPr="00597E56" w:rsidRDefault="001F08B2" w:rsidP="008F64CF">
                  <w:pPr>
                    <w:spacing w:after="200"/>
                    <w:rPr>
                      <w:rFonts w:ascii="Times New Roman" w:hAnsi="Times New Roman"/>
                      <w:bCs/>
                      <w:iCs/>
                    </w:rPr>
                  </w:pPr>
                  <w:r w:rsidRPr="00597E56">
                    <w:rPr>
                      <w:rFonts w:ascii="Times New Roman" w:hAnsi="Times New Roman"/>
                      <w:iCs/>
                    </w:rPr>
                    <w:t xml:space="preserve">9 anchor points used to tune the </w:t>
                  </w:r>
                  <w:proofErr w:type="spellStart"/>
                  <w:r w:rsidRPr="00597E56">
                    <w:rPr>
                      <w:rFonts w:ascii="Times New Roman" w:hAnsi="Times New Roman"/>
                      <w:iCs/>
                    </w:rPr>
                    <w:t>Labuerda</w:t>
                  </w:r>
                  <w:proofErr w:type="spellEnd"/>
                  <w:r w:rsidRPr="00597E56">
                    <w:rPr>
                      <w:rFonts w:ascii="Times New Roman" w:hAnsi="Times New Roman"/>
                      <w:iCs/>
                    </w:rPr>
                    <w:t xml:space="preserve"> section 2 to the eccentricity curves of the La2010a orbital solution of </w:t>
                  </w:r>
                  <w:proofErr w:type="spellStart"/>
                  <w:r w:rsidRPr="00597E56">
                    <w:rPr>
                      <w:rFonts w:ascii="Times New Roman" w:hAnsi="Times New Roman"/>
                      <w:iCs/>
                    </w:rPr>
                    <w:t>Laskar</w:t>
                  </w:r>
                  <w:proofErr w:type="spellEnd"/>
                  <w:r w:rsidRPr="00597E56">
                    <w:rPr>
                      <w:rFonts w:ascii="Times New Roman" w:hAnsi="Times New Roman"/>
                      <w:iCs/>
                    </w:rPr>
                    <w:t xml:space="preserve"> </w:t>
                  </w:r>
                  <w:r w:rsidRPr="00942DD3">
                    <w:rPr>
                      <w:rFonts w:ascii="Times New Roman" w:hAnsi="Times New Roman"/>
                      <w:i/>
                      <w:iCs/>
                    </w:rPr>
                    <w:t>et al.</w:t>
                  </w:r>
                  <w:r w:rsidRPr="00597E56">
                    <w:rPr>
                      <w:rFonts w:ascii="Times New Roman" w:hAnsi="Times New Roman"/>
                      <w:iCs/>
                    </w:rPr>
                    <w:t xml:space="preserve"> (2011).</w:t>
                  </w:r>
                </w:p>
              </w:tc>
            </w:tr>
          </w:tbl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FC5588" w:rsidRDefault="00FC5588" w:rsidP="00B32941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FC5588" w:rsidRDefault="00FC5588" w:rsidP="00B32941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1F08B2" w:rsidRDefault="001F08B2" w:rsidP="00B32941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lastRenderedPageBreak/>
        <w:t>Table 3.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2F2F2"/>
          <w:insideV w:val="single" w:sz="4" w:space="0" w:color="F2F2F2"/>
        </w:tblBorders>
        <w:tblLook w:val="00A0" w:firstRow="1" w:lastRow="0" w:firstColumn="1" w:lastColumn="0" w:noHBand="0" w:noVBand="0"/>
      </w:tblPr>
      <w:tblGrid>
        <w:gridCol w:w="4756"/>
        <w:gridCol w:w="822"/>
        <w:gridCol w:w="2467"/>
      </w:tblGrid>
      <w:tr w:rsidR="001F08B2" w:rsidRPr="00597E56">
        <w:trPr>
          <w:trHeight w:val="408"/>
        </w:trPr>
        <w:tc>
          <w:tcPr>
            <w:tcW w:w="8045" w:type="dxa"/>
            <w:gridSpan w:val="3"/>
            <w:tcBorders>
              <w:top w:val="single" w:sz="4" w:space="0" w:color="FFFFF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>Anchor points used for tuning the Boltaña section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rPr>
          <w:trHeight w:val="263"/>
        </w:trPr>
        <w:tc>
          <w:tcPr>
            <w:tcW w:w="4756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(m)</w:t>
            </w:r>
          </w:p>
        </w:tc>
        <w:tc>
          <w:tcPr>
            <w:tcW w:w="822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(Ma)</w:t>
            </w:r>
          </w:p>
        </w:tc>
        <w:tc>
          <w:tcPr>
            <w:tcW w:w="2467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Matched cycle</w:t>
            </w:r>
          </w:p>
        </w:tc>
      </w:tr>
      <w:tr w:rsidR="001F08B2" w:rsidRPr="00597E56">
        <w:trPr>
          <w:trHeight w:val="392"/>
        </w:trPr>
        <w:tc>
          <w:tcPr>
            <w:tcW w:w="4756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19</w:t>
            </w:r>
          </w:p>
        </w:tc>
        <w:tc>
          <w:tcPr>
            <w:tcW w:w="822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45.226</w:t>
            </w:r>
          </w:p>
        </w:tc>
        <w:tc>
          <w:tcPr>
            <w:tcW w:w="2467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rPr>
          <w:trHeight w:val="378"/>
        </w:trPr>
        <w:tc>
          <w:tcPr>
            <w:tcW w:w="4756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47.4</w:t>
            </w:r>
          </w:p>
        </w:tc>
        <w:tc>
          <w:tcPr>
            <w:tcW w:w="82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45.120</w:t>
            </w:r>
          </w:p>
        </w:tc>
        <w:tc>
          <w:tcPr>
            <w:tcW w:w="246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rPr>
          <w:trHeight w:val="378"/>
        </w:trPr>
        <w:tc>
          <w:tcPr>
            <w:tcW w:w="4756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79.4</w:t>
            </w:r>
          </w:p>
        </w:tc>
        <w:tc>
          <w:tcPr>
            <w:tcW w:w="82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45.015</w:t>
            </w:r>
          </w:p>
        </w:tc>
        <w:tc>
          <w:tcPr>
            <w:tcW w:w="246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rPr>
          <w:trHeight w:val="378"/>
        </w:trPr>
        <w:tc>
          <w:tcPr>
            <w:tcW w:w="4756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104.8</w:t>
            </w:r>
          </w:p>
        </w:tc>
        <w:tc>
          <w:tcPr>
            <w:tcW w:w="82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44.9</w:t>
            </w:r>
          </w:p>
        </w:tc>
        <w:tc>
          <w:tcPr>
            <w:tcW w:w="246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minima</w:t>
            </w:r>
          </w:p>
        </w:tc>
      </w:tr>
      <w:tr w:rsidR="001F08B2" w:rsidRPr="00597E56">
        <w:trPr>
          <w:trHeight w:val="392"/>
        </w:trPr>
        <w:tc>
          <w:tcPr>
            <w:tcW w:w="4756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130.2</w:t>
            </w:r>
          </w:p>
        </w:tc>
        <w:tc>
          <w:tcPr>
            <w:tcW w:w="82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44.795</w:t>
            </w:r>
          </w:p>
        </w:tc>
        <w:tc>
          <w:tcPr>
            <w:tcW w:w="246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rPr>
          <w:trHeight w:val="392"/>
        </w:trPr>
        <w:tc>
          <w:tcPr>
            <w:tcW w:w="4756" w:type="dxa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157.8</w:t>
            </w:r>
          </w:p>
        </w:tc>
        <w:tc>
          <w:tcPr>
            <w:tcW w:w="822" w:type="dxa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44.619</w:t>
            </w:r>
          </w:p>
        </w:tc>
        <w:tc>
          <w:tcPr>
            <w:tcW w:w="2467" w:type="dxa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minima</w:t>
            </w:r>
          </w:p>
        </w:tc>
      </w:tr>
      <w:tr w:rsidR="001F08B2" w:rsidRPr="00597E56">
        <w:trPr>
          <w:trHeight w:val="589"/>
        </w:trPr>
        <w:tc>
          <w:tcPr>
            <w:tcW w:w="8045" w:type="dxa"/>
            <w:gridSpan w:val="3"/>
            <w:tcBorders>
              <w:top w:val="single" w:sz="4" w:space="0" w:color="7F7F7F"/>
              <w:bottom w:val="single" w:sz="4" w:space="0" w:color="FFFFFF"/>
            </w:tcBorders>
          </w:tcPr>
          <w:p w:rsidR="001F08B2" w:rsidRPr="00597E56" w:rsidRDefault="001F08B2" w:rsidP="00582E2D">
            <w:pPr>
              <w:spacing w:after="200"/>
              <w:jc w:val="both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6 anchor points used to tune the Boltaña section to eccentricity.</w:t>
            </w:r>
          </w:p>
        </w:tc>
      </w:tr>
    </w:tbl>
    <w:p w:rsidR="001F08B2" w:rsidRPr="00513A61" w:rsidRDefault="001F08B2" w:rsidP="00C910BC">
      <w:pPr>
        <w:spacing w:after="200"/>
        <w:rPr>
          <w:rFonts w:ascii="Times New Roman" w:hAnsi="Times New Roman"/>
          <w:bCs/>
          <w:iCs/>
          <w:sz w:val="24"/>
        </w:rPr>
      </w:pPr>
      <w:r w:rsidRPr="00513A61">
        <w:rPr>
          <w:rFonts w:ascii="Times New Roman" w:hAnsi="Times New Roman"/>
          <w:bCs/>
          <w:iCs/>
          <w:sz w:val="24"/>
        </w:rPr>
        <w:t>Table 4.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2F2F2"/>
          <w:insideV w:val="single" w:sz="4" w:space="0" w:color="F2F2F2"/>
        </w:tblBorders>
        <w:tblLook w:val="00A0" w:firstRow="1" w:lastRow="0" w:firstColumn="1" w:lastColumn="0" w:noHBand="0" w:noVBand="0"/>
      </w:tblPr>
      <w:tblGrid>
        <w:gridCol w:w="3052"/>
        <w:gridCol w:w="2752"/>
        <w:gridCol w:w="2487"/>
      </w:tblGrid>
      <w:tr w:rsidR="001F08B2" w:rsidRPr="00597E56">
        <w:tc>
          <w:tcPr>
            <w:tcW w:w="8291" w:type="dxa"/>
            <w:gridSpan w:val="3"/>
            <w:tcBorders>
              <w:top w:val="single" w:sz="4" w:space="0" w:color="FFFFF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 xml:space="preserve">Anchor points for orbital tuning in the </w:t>
            </w:r>
            <w:proofErr w:type="spellStart"/>
            <w:r w:rsidRPr="00597E56">
              <w:rPr>
                <w:rFonts w:ascii="Times New Roman" w:hAnsi="Times New Roman"/>
                <w:b/>
                <w:iCs/>
              </w:rPr>
              <w:t>Forcaz</w:t>
            </w:r>
            <w:proofErr w:type="spellEnd"/>
            <w:r w:rsidRPr="00597E56">
              <w:rPr>
                <w:rFonts w:ascii="Times New Roman" w:hAnsi="Times New Roman"/>
                <w:b/>
                <w:iCs/>
              </w:rPr>
              <w:t xml:space="preserve"> section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c>
          <w:tcPr>
            <w:tcW w:w="3052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(m)</w:t>
            </w:r>
          </w:p>
        </w:tc>
        <w:tc>
          <w:tcPr>
            <w:tcW w:w="2752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(Ma)</w:t>
            </w:r>
          </w:p>
        </w:tc>
        <w:tc>
          <w:tcPr>
            <w:tcW w:w="2487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Cycle</w:t>
            </w:r>
          </w:p>
        </w:tc>
      </w:tr>
      <w:tr w:rsidR="001F08B2" w:rsidRPr="00597E56">
        <w:tc>
          <w:tcPr>
            <w:tcW w:w="3052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9.2</w:t>
            </w:r>
          </w:p>
        </w:tc>
        <w:tc>
          <w:tcPr>
            <w:tcW w:w="2752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44.619</w:t>
            </w:r>
          </w:p>
        </w:tc>
        <w:tc>
          <w:tcPr>
            <w:tcW w:w="2487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26.6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44.585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50.4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44.488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67.4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44.384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114.8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44.28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143.6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44.181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 xml:space="preserve">Eccentricity maxima 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161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44.099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maxima</w:t>
            </w:r>
          </w:p>
        </w:tc>
      </w:tr>
      <w:tr w:rsidR="001F08B2" w:rsidRPr="00597E56">
        <w:tc>
          <w:tcPr>
            <w:tcW w:w="3052" w:type="dxa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174.8</w:t>
            </w:r>
          </w:p>
        </w:tc>
        <w:tc>
          <w:tcPr>
            <w:tcW w:w="2752" w:type="dxa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44.053</w:t>
            </w:r>
          </w:p>
        </w:tc>
        <w:tc>
          <w:tcPr>
            <w:tcW w:w="2487" w:type="dxa"/>
            <w:tcBorders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Eccentricity minima</w:t>
            </w:r>
          </w:p>
        </w:tc>
      </w:tr>
      <w:tr w:rsidR="001F08B2" w:rsidRPr="00597E56">
        <w:tc>
          <w:tcPr>
            <w:tcW w:w="8291" w:type="dxa"/>
            <w:gridSpan w:val="3"/>
            <w:tcBorders>
              <w:top w:val="single" w:sz="4" w:space="0" w:color="7F7F7F"/>
              <w:bottom w:val="single" w:sz="4" w:space="0" w:color="FFFFFF"/>
            </w:tcBorders>
          </w:tcPr>
          <w:p w:rsidR="001F08B2" w:rsidRDefault="001F08B2" w:rsidP="00582E2D">
            <w:pPr>
              <w:spacing w:after="200"/>
              <w:rPr>
                <w:rFonts w:ascii="Times New Roman" w:hAnsi="Times New Roman"/>
                <w:iCs/>
              </w:rPr>
            </w:pPr>
            <w:r w:rsidRPr="00597E56">
              <w:rPr>
                <w:rFonts w:ascii="Times New Roman" w:hAnsi="Times New Roman"/>
                <w:iCs/>
              </w:rPr>
              <w:t xml:space="preserve">8 anchor points employed to tune the </w:t>
            </w:r>
            <w:proofErr w:type="spellStart"/>
            <w:r w:rsidRPr="00597E56">
              <w:rPr>
                <w:rFonts w:ascii="Times New Roman" w:hAnsi="Times New Roman"/>
                <w:iCs/>
              </w:rPr>
              <w:t>Forcaz</w:t>
            </w:r>
            <w:proofErr w:type="spellEnd"/>
            <w:r w:rsidRPr="00597E56">
              <w:rPr>
                <w:rFonts w:ascii="Times New Roman" w:hAnsi="Times New Roman"/>
                <w:iCs/>
              </w:rPr>
              <w:t xml:space="preserve"> section to the eccentricity curves of the La2010a orbital solution of </w:t>
            </w:r>
            <w:proofErr w:type="spellStart"/>
            <w:r w:rsidRPr="00597E56">
              <w:rPr>
                <w:rFonts w:ascii="Times New Roman" w:hAnsi="Times New Roman"/>
                <w:iCs/>
              </w:rPr>
              <w:t>Laskar</w:t>
            </w:r>
            <w:proofErr w:type="spellEnd"/>
            <w:r w:rsidRPr="00597E56">
              <w:rPr>
                <w:rFonts w:ascii="Times New Roman" w:hAnsi="Times New Roman"/>
                <w:iCs/>
              </w:rPr>
              <w:t xml:space="preserve"> </w:t>
            </w:r>
            <w:r w:rsidRPr="00942DD3">
              <w:rPr>
                <w:rFonts w:ascii="Times New Roman" w:hAnsi="Times New Roman"/>
                <w:i/>
                <w:iCs/>
              </w:rPr>
              <w:t>et al.</w:t>
            </w:r>
            <w:r w:rsidRPr="00597E56">
              <w:rPr>
                <w:rFonts w:ascii="Times New Roman" w:hAnsi="Times New Roman"/>
                <w:iCs/>
              </w:rPr>
              <w:t xml:space="preserve"> (2011).</w:t>
            </w:r>
          </w:p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FC5588" w:rsidRDefault="00FC5588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FC5588" w:rsidRDefault="00FC5588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FC5588" w:rsidRDefault="00FC5588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FC5588" w:rsidRDefault="00FC5588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</w:p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lastRenderedPageBreak/>
        <w:t>Table 5.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2F2F2"/>
          <w:insideV w:val="single" w:sz="4" w:space="0" w:color="F2F2F2"/>
        </w:tblBorders>
        <w:tblLook w:val="00A0" w:firstRow="1" w:lastRow="0" w:firstColumn="1" w:lastColumn="0" w:noHBand="0" w:noVBand="0"/>
      </w:tblPr>
      <w:tblGrid>
        <w:gridCol w:w="3052"/>
        <w:gridCol w:w="2752"/>
        <w:gridCol w:w="2487"/>
      </w:tblGrid>
      <w:tr w:rsidR="001F08B2" w:rsidRPr="00597E56">
        <w:tc>
          <w:tcPr>
            <w:tcW w:w="8291" w:type="dxa"/>
            <w:gridSpan w:val="3"/>
            <w:tcBorders>
              <w:top w:val="single" w:sz="4" w:space="0" w:color="FFFFFF"/>
              <w:bottom w:val="single" w:sz="4" w:space="0" w:color="7F7F7F"/>
            </w:tcBorders>
          </w:tcPr>
          <w:p w:rsidR="001F08B2" w:rsidRPr="00597E56" w:rsidRDefault="001F08B2" w:rsidP="00C910BC">
            <w:pPr>
              <w:spacing w:after="200"/>
              <w:rPr>
                <w:rFonts w:ascii="Times New Roman" w:hAnsi="Times New Roman"/>
                <w:b/>
                <w:iCs/>
              </w:rPr>
            </w:pPr>
            <w:r w:rsidRPr="00597E56">
              <w:rPr>
                <w:rFonts w:ascii="Times New Roman" w:hAnsi="Times New Roman"/>
                <w:b/>
                <w:iCs/>
              </w:rPr>
              <w:t xml:space="preserve">Anchor points for orbital tuning in the </w:t>
            </w:r>
            <w:proofErr w:type="spellStart"/>
            <w:r>
              <w:rPr>
                <w:rFonts w:ascii="Times New Roman" w:hAnsi="Times New Roman"/>
                <w:b/>
                <w:iCs/>
              </w:rPr>
              <w:t>Morillo</w:t>
            </w:r>
            <w:proofErr w:type="spellEnd"/>
            <w:r>
              <w:rPr>
                <w:rFonts w:ascii="Times New Roman" w:hAnsi="Times New Roman"/>
                <w:b/>
                <w:iCs/>
              </w:rPr>
              <w:t xml:space="preserve"> Reservoir</w:t>
            </w:r>
            <w:r w:rsidRPr="00597E56">
              <w:rPr>
                <w:rFonts w:ascii="Times New Roman" w:hAnsi="Times New Roman"/>
                <w:b/>
                <w:iCs/>
              </w:rPr>
              <w:t xml:space="preserve"> section</w:t>
            </w:r>
            <w:r>
              <w:rPr>
                <w:rFonts w:ascii="Times New Roman" w:hAnsi="Times New Roman"/>
                <w:b/>
                <w:iCs/>
              </w:rPr>
              <w:t>.</w:t>
            </w:r>
          </w:p>
        </w:tc>
      </w:tr>
      <w:tr w:rsidR="001F08B2" w:rsidRPr="00597E56">
        <w:tc>
          <w:tcPr>
            <w:tcW w:w="3052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 w:rsidRPr="00597E56">
              <w:rPr>
                <w:rFonts w:ascii="Times New Roman" w:hAnsi="Times New Roman"/>
                <w:iCs/>
              </w:rPr>
              <w:t>Height (m)</w:t>
            </w:r>
          </w:p>
        </w:tc>
        <w:tc>
          <w:tcPr>
            <w:tcW w:w="2752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Age (Ma)</w:t>
            </w:r>
          </w:p>
        </w:tc>
        <w:tc>
          <w:tcPr>
            <w:tcW w:w="2487" w:type="dxa"/>
            <w:tcBorders>
              <w:top w:val="single" w:sz="4" w:space="0" w:color="7F7F7F"/>
              <w:bottom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 w:rsidRPr="00597E56">
              <w:rPr>
                <w:rFonts w:ascii="Times New Roman" w:hAnsi="Times New Roman"/>
              </w:rPr>
              <w:t>Cycle</w:t>
            </w:r>
          </w:p>
        </w:tc>
      </w:tr>
      <w:tr w:rsidR="001F08B2" w:rsidRPr="00597E56">
        <w:tc>
          <w:tcPr>
            <w:tcW w:w="3052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4.8</w:t>
            </w:r>
          </w:p>
        </w:tc>
        <w:tc>
          <w:tcPr>
            <w:tcW w:w="2752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43.635</w:t>
            </w:r>
          </w:p>
        </w:tc>
        <w:tc>
          <w:tcPr>
            <w:tcW w:w="2487" w:type="dxa"/>
            <w:tcBorders>
              <w:top w:val="single" w:sz="4" w:space="0" w:color="7F7F7F"/>
            </w:tcBorders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18.4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43.614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30.2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43.594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43.2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43.572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74FC6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57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43.541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68.8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43.523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80.8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43.502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Default="001F08B2" w:rsidP="00582E2D">
            <w:pPr>
              <w:spacing w:after="20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93.2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43.481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Default="001F08B2" w:rsidP="00582E2D">
            <w:pPr>
              <w:spacing w:after="20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103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43.459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3052" w:type="dxa"/>
          </w:tcPr>
          <w:p w:rsidR="001F08B2" w:rsidRDefault="001F08B2" w:rsidP="00582E2D">
            <w:pPr>
              <w:spacing w:after="20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115.4</w:t>
            </w:r>
          </w:p>
        </w:tc>
        <w:tc>
          <w:tcPr>
            <w:tcW w:w="2752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43.434</w:t>
            </w:r>
          </w:p>
        </w:tc>
        <w:tc>
          <w:tcPr>
            <w:tcW w:w="2487" w:type="dxa"/>
          </w:tcPr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Obliquity maxima</w:t>
            </w:r>
          </w:p>
        </w:tc>
      </w:tr>
      <w:tr w:rsidR="001F08B2" w:rsidRPr="00597E56">
        <w:tc>
          <w:tcPr>
            <w:tcW w:w="8291" w:type="dxa"/>
            <w:gridSpan w:val="3"/>
            <w:tcBorders>
              <w:top w:val="single" w:sz="4" w:space="0" w:color="7F7F7F"/>
              <w:bottom w:val="single" w:sz="4" w:space="0" w:color="FFFFFF"/>
            </w:tcBorders>
          </w:tcPr>
          <w:p w:rsidR="001F08B2" w:rsidRDefault="001F08B2" w:rsidP="00582E2D">
            <w:pPr>
              <w:spacing w:after="200"/>
              <w:rPr>
                <w:rFonts w:ascii="Times New Roman" w:hAnsi="Times New Roman"/>
                <w:iCs/>
              </w:rPr>
            </w:pPr>
            <w:r w:rsidRPr="00597E56">
              <w:rPr>
                <w:rFonts w:ascii="Times New Roman" w:hAnsi="Times New Roman"/>
                <w:iCs/>
              </w:rPr>
              <w:t xml:space="preserve">8 anchor points employed to tune the </w:t>
            </w:r>
            <w:proofErr w:type="spellStart"/>
            <w:r>
              <w:rPr>
                <w:rFonts w:ascii="Times New Roman" w:hAnsi="Times New Roman"/>
                <w:iCs/>
              </w:rPr>
              <w:t>Morillo</w:t>
            </w:r>
            <w:proofErr w:type="spellEnd"/>
            <w:r>
              <w:rPr>
                <w:rFonts w:ascii="Times New Roman" w:hAnsi="Times New Roman"/>
                <w:iCs/>
              </w:rPr>
              <w:t xml:space="preserve"> reservoir</w:t>
            </w:r>
            <w:r w:rsidRPr="00597E56">
              <w:rPr>
                <w:rFonts w:ascii="Times New Roman" w:hAnsi="Times New Roman"/>
                <w:iCs/>
              </w:rPr>
              <w:t xml:space="preserve"> section to the </w:t>
            </w:r>
            <w:r>
              <w:rPr>
                <w:rFonts w:ascii="Times New Roman" w:hAnsi="Times New Roman"/>
                <w:iCs/>
              </w:rPr>
              <w:t>obliquity</w:t>
            </w:r>
            <w:r w:rsidRPr="00597E56">
              <w:rPr>
                <w:rFonts w:ascii="Times New Roman" w:hAnsi="Times New Roman"/>
                <w:iCs/>
              </w:rPr>
              <w:t xml:space="preserve"> curves of the La2010a orbital solution of </w:t>
            </w:r>
            <w:proofErr w:type="spellStart"/>
            <w:r w:rsidRPr="00597E56">
              <w:rPr>
                <w:rFonts w:ascii="Times New Roman" w:hAnsi="Times New Roman"/>
                <w:iCs/>
              </w:rPr>
              <w:t>Laskar</w:t>
            </w:r>
            <w:proofErr w:type="spellEnd"/>
            <w:r w:rsidRPr="00597E56">
              <w:rPr>
                <w:rFonts w:ascii="Times New Roman" w:hAnsi="Times New Roman"/>
                <w:iCs/>
              </w:rPr>
              <w:t xml:space="preserve"> </w:t>
            </w:r>
            <w:r w:rsidRPr="00942DD3">
              <w:rPr>
                <w:rFonts w:ascii="Times New Roman" w:hAnsi="Times New Roman"/>
                <w:i/>
                <w:iCs/>
              </w:rPr>
              <w:t>et al.</w:t>
            </w:r>
            <w:r w:rsidRPr="00597E56">
              <w:rPr>
                <w:rFonts w:ascii="Times New Roman" w:hAnsi="Times New Roman"/>
                <w:iCs/>
              </w:rPr>
              <w:t xml:space="preserve"> (2011).</w:t>
            </w:r>
          </w:p>
          <w:p w:rsidR="001F08B2" w:rsidRPr="00597E56" w:rsidRDefault="001F08B2" w:rsidP="00582E2D">
            <w:pPr>
              <w:spacing w:after="200"/>
              <w:rPr>
                <w:rFonts w:ascii="Times New Roman" w:hAnsi="Times New Roman"/>
                <w:bCs/>
                <w:iCs/>
              </w:rPr>
            </w:pPr>
          </w:p>
        </w:tc>
      </w:tr>
    </w:tbl>
    <w:p w:rsidR="001F08B2" w:rsidRDefault="001F08B2" w:rsidP="00C910BC">
      <w:pPr>
        <w:spacing w:after="200" w:line="276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</w:p>
    <w:sectPr w:rsidR="001F08B2" w:rsidSect="00023D11">
      <w:footerReference w:type="default" r:id="rId7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FD" w:rsidRDefault="00DB1EFD">
      <w:pPr>
        <w:spacing w:after="0" w:line="240" w:lineRule="auto"/>
      </w:pPr>
      <w:r>
        <w:separator/>
      </w:r>
    </w:p>
  </w:endnote>
  <w:endnote w:type="continuationSeparator" w:id="0">
    <w:p w:rsidR="00DB1EFD" w:rsidRDefault="00DB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CB7" w:rsidRDefault="001F2CB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232A3">
      <w:rPr>
        <w:noProof/>
      </w:rPr>
      <w:t>2</w:t>
    </w:r>
    <w:r>
      <w:rPr>
        <w:noProof/>
      </w:rPr>
      <w:fldChar w:fldCharType="end"/>
    </w:r>
  </w:p>
  <w:p w:rsidR="001F2CB7" w:rsidRDefault="001F2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FD" w:rsidRDefault="00DB1EFD">
      <w:pPr>
        <w:spacing w:after="0" w:line="240" w:lineRule="auto"/>
      </w:pPr>
      <w:r>
        <w:separator/>
      </w:r>
    </w:p>
  </w:footnote>
  <w:footnote w:type="continuationSeparator" w:id="0">
    <w:p w:rsidR="00DB1EFD" w:rsidRDefault="00DB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D53A1"/>
    <w:multiLevelType w:val="hybridMultilevel"/>
    <w:tmpl w:val="6AAE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FD"/>
    <w:rsid w:val="00001BEF"/>
    <w:rsid w:val="00010277"/>
    <w:rsid w:val="0001762A"/>
    <w:rsid w:val="000201F2"/>
    <w:rsid w:val="00023D11"/>
    <w:rsid w:val="00027622"/>
    <w:rsid w:val="0003064D"/>
    <w:rsid w:val="00030834"/>
    <w:rsid w:val="00032641"/>
    <w:rsid w:val="0003618F"/>
    <w:rsid w:val="000433A1"/>
    <w:rsid w:val="0004461E"/>
    <w:rsid w:val="00051B4C"/>
    <w:rsid w:val="00055341"/>
    <w:rsid w:val="0006034A"/>
    <w:rsid w:val="000616D8"/>
    <w:rsid w:val="00061927"/>
    <w:rsid w:val="00065153"/>
    <w:rsid w:val="0006768E"/>
    <w:rsid w:val="000736DC"/>
    <w:rsid w:val="00077649"/>
    <w:rsid w:val="000776F1"/>
    <w:rsid w:val="00081F2C"/>
    <w:rsid w:val="0008663E"/>
    <w:rsid w:val="00087A4D"/>
    <w:rsid w:val="00092DBC"/>
    <w:rsid w:val="000A05FF"/>
    <w:rsid w:val="000A08F6"/>
    <w:rsid w:val="000B55FD"/>
    <w:rsid w:val="000B5949"/>
    <w:rsid w:val="000B5955"/>
    <w:rsid w:val="000B7A57"/>
    <w:rsid w:val="000C1417"/>
    <w:rsid w:val="000C2359"/>
    <w:rsid w:val="000D4E8B"/>
    <w:rsid w:val="000E33B5"/>
    <w:rsid w:val="000F070D"/>
    <w:rsid w:val="000F5827"/>
    <w:rsid w:val="000F7D0B"/>
    <w:rsid w:val="00110A9D"/>
    <w:rsid w:val="00121E4A"/>
    <w:rsid w:val="00124B46"/>
    <w:rsid w:val="00133990"/>
    <w:rsid w:val="001507E9"/>
    <w:rsid w:val="001508D3"/>
    <w:rsid w:val="00150C26"/>
    <w:rsid w:val="0015140B"/>
    <w:rsid w:val="00155FBB"/>
    <w:rsid w:val="00156AF2"/>
    <w:rsid w:val="00164DEB"/>
    <w:rsid w:val="00167DA9"/>
    <w:rsid w:val="00170B01"/>
    <w:rsid w:val="0017176D"/>
    <w:rsid w:val="0017294B"/>
    <w:rsid w:val="00173C6E"/>
    <w:rsid w:val="00173F72"/>
    <w:rsid w:val="0017639B"/>
    <w:rsid w:val="001840F9"/>
    <w:rsid w:val="00193658"/>
    <w:rsid w:val="00193A91"/>
    <w:rsid w:val="001A1AB3"/>
    <w:rsid w:val="001A3C5E"/>
    <w:rsid w:val="001C02E9"/>
    <w:rsid w:val="001C538D"/>
    <w:rsid w:val="001C64F9"/>
    <w:rsid w:val="001C714F"/>
    <w:rsid w:val="001D0890"/>
    <w:rsid w:val="001D2755"/>
    <w:rsid w:val="001D5F18"/>
    <w:rsid w:val="001E4C50"/>
    <w:rsid w:val="001E5027"/>
    <w:rsid w:val="001E65D8"/>
    <w:rsid w:val="001F08B2"/>
    <w:rsid w:val="001F2CB7"/>
    <w:rsid w:val="001F356D"/>
    <w:rsid w:val="001F3EC6"/>
    <w:rsid w:val="001F4687"/>
    <w:rsid w:val="001F7568"/>
    <w:rsid w:val="00202258"/>
    <w:rsid w:val="002055F1"/>
    <w:rsid w:val="00213FD6"/>
    <w:rsid w:val="00216CA7"/>
    <w:rsid w:val="002227F4"/>
    <w:rsid w:val="002246AA"/>
    <w:rsid w:val="002309A8"/>
    <w:rsid w:val="0023271D"/>
    <w:rsid w:val="002367AD"/>
    <w:rsid w:val="00236CD2"/>
    <w:rsid w:val="00237275"/>
    <w:rsid w:val="00237612"/>
    <w:rsid w:val="00245F91"/>
    <w:rsid w:val="00255F1D"/>
    <w:rsid w:val="002640B4"/>
    <w:rsid w:val="0027313D"/>
    <w:rsid w:val="002758FE"/>
    <w:rsid w:val="002812C9"/>
    <w:rsid w:val="0028563A"/>
    <w:rsid w:val="002878DC"/>
    <w:rsid w:val="00293C7E"/>
    <w:rsid w:val="00297961"/>
    <w:rsid w:val="00297D57"/>
    <w:rsid w:val="002A26E6"/>
    <w:rsid w:val="002B28D2"/>
    <w:rsid w:val="002B5CBA"/>
    <w:rsid w:val="002B72B0"/>
    <w:rsid w:val="002C07E4"/>
    <w:rsid w:val="002C29ED"/>
    <w:rsid w:val="002C76F8"/>
    <w:rsid w:val="002D0100"/>
    <w:rsid w:val="002D36A4"/>
    <w:rsid w:val="002D6494"/>
    <w:rsid w:val="002F2356"/>
    <w:rsid w:val="002F2821"/>
    <w:rsid w:val="002F5065"/>
    <w:rsid w:val="002F6611"/>
    <w:rsid w:val="003007CD"/>
    <w:rsid w:val="00301B3A"/>
    <w:rsid w:val="00301B7B"/>
    <w:rsid w:val="003036F9"/>
    <w:rsid w:val="00306D6A"/>
    <w:rsid w:val="003070B9"/>
    <w:rsid w:val="003103C0"/>
    <w:rsid w:val="00313E7C"/>
    <w:rsid w:val="003207DA"/>
    <w:rsid w:val="00322A50"/>
    <w:rsid w:val="003230E9"/>
    <w:rsid w:val="003239F3"/>
    <w:rsid w:val="00327C01"/>
    <w:rsid w:val="00327E2F"/>
    <w:rsid w:val="003325DE"/>
    <w:rsid w:val="00332AE8"/>
    <w:rsid w:val="003426C0"/>
    <w:rsid w:val="003434B3"/>
    <w:rsid w:val="00344651"/>
    <w:rsid w:val="00346CD2"/>
    <w:rsid w:val="003476C1"/>
    <w:rsid w:val="00347CD8"/>
    <w:rsid w:val="00347FF4"/>
    <w:rsid w:val="003509A5"/>
    <w:rsid w:val="00350FFA"/>
    <w:rsid w:val="00351668"/>
    <w:rsid w:val="00352842"/>
    <w:rsid w:val="003614CB"/>
    <w:rsid w:val="00372656"/>
    <w:rsid w:val="00372A54"/>
    <w:rsid w:val="00373440"/>
    <w:rsid w:val="0037687B"/>
    <w:rsid w:val="00376AD7"/>
    <w:rsid w:val="00383712"/>
    <w:rsid w:val="00386FF1"/>
    <w:rsid w:val="0038766D"/>
    <w:rsid w:val="003926F8"/>
    <w:rsid w:val="00394BBF"/>
    <w:rsid w:val="003A38A3"/>
    <w:rsid w:val="003A569A"/>
    <w:rsid w:val="003A717E"/>
    <w:rsid w:val="003B0DCC"/>
    <w:rsid w:val="003B38F7"/>
    <w:rsid w:val="003B54FB"/>
    <w:rsid w:val="003C12D2"/>
    <w:rsid w:val="003C2C7D"/>
    <w:rsid w:val="003D4EA0"/>
    <w:rsid w:val="003D6E84"/>
    <w:rsid w:val="003D7F5B"/>
    <w:rsid w:val="003E793F"/>
    <w:rsid w:val="003F3589"/>
    <w:rsid w:val="003F507D"/>
    <w:rsid w:val="00400101"/>
    <w:rsid w:val="0041308E"/>
    <w:rsid w:val="004148C8"/>
    <w:rsid w:val="00422631"/>
    <w:rsid w:val="00424203"/>
    <w:rsid w:val="00427756"/>
    <w:rsid w:val="00431CFE"/>
    <w:rsid w:val="0043297F"/>
    <w:rsid w:val="004355BB"/>
    <w:rsid w:val="0043704B"/>
    <w:rsid w:val="00440DA9"/>
    <w:rsid w:val="004410B6"/>
    <w:rsid w:val="00445E96"/>
    <w:rsid w:val="00446511"/>
    <w:rsid w:val="00460734"/>
    <w:rsid w:val="00475E26"/>
    <w:rsid w:val="00482108"/>
    <w:rsid w:val="0048291E"/>
    <w:rsid w:val="004869B3"/>
    <w:rsid w:val="004870E4"/>
    <w:rsid w:val="00490569"/>
    <w:rsid w:val="00490FE9"/>
    <w:rsid w:val="00491E25"/>
    <w:rsid w:val="00491FE5"/>
    <w:rsid w:val="004933C6"/>
    <w:rsid w:val="00495454"/>
    <w:rsid w:val="004A26D5"/>
    <w:rsid w:val="004A3C69"/>
    <w:rsid w:val="004A44BC"/>
    <w:rsid w:val="004A4E50"/>
    <w:rsid w:val="004A65DF"/>
    <w:rsid w:val="004B79DB"/>
    <w:rsid w:val="004C188D"/>
    <w:rsid w:val="004C1DB8"/>
    <w:rsid w:val="004C4D0C"/>
    <w:rsid w:val="004E1AD9"/>
    <w:rsid w:val="004E37AF"/>
    <w:rsid w:val="004F4430"/>
    <w:rsid w:val="004F4C66"/>
    <w:rsid w:val="004F4C8D"/>
    <w:rsid w:val="004F61B4"/>
    <w:rsid w:val="004F7C0A"/>
    <w:rsid w:val="005056A3"/>
    <w:rsid w:val="005062A1"/>
    <w:rsid w:val="00510DCD"/>
    <w:rsid w:val="00510E99"/>
    <w:rsid w:val="00511468"/>
    <w:rsid w:val="00513A61"/>
    <w:rsid w:val="00516156"/>
    <w:rsid w:val="00530474"/>
    <w:rsid w:val="00562D4B"/>
    <w:rsid w:val="00566A99"/>
    <w:rsid w:val="00573906"/>
    <w:rsid w:val="00574FC6"/>
    <w:rsid w:val="00580458"/>
    <w:rsid w:val="00582E2D"/>
    <w:rsid w:val="005832E5"/>
    <w:rsid w:val="00583504"/>
    <w:rsid w:val="00593933"/>
    <w:rsid w:val="005975B1"/>
    <w:rsid w:val="00597E56"/>
    <w:rsid w:val="005A1B36"/>
    <w:rsid w:val="005A2CF0"/>
    <w:rsid w:val="005B336A"/>
    <w:rsid w:val="005B6908"/>
    <w:rsid w:val="005C3473"/>
    <w:rsid w:val="005C34C0"/>
    <w:rsid w:val="005C3E6C"/>
    <w:rsid w:val="005D4730"/>
    <w:rsid w:val="005D6D3C"/>
    <w:rsid w:val="005D72B7"/>
    <w:rsid w:val="005D7670"/>
    <w:rsid w:val="005E0443"/>
    <w:rsid w:val="005E0534"/>
    <w:rsid w:val="005E2234"/>
    <w:rsid w:val="005E7C1B"/>
    <w:rsid w:val="00600DE4"/>
    <w:rsid w:val="00601E8F"/>
    <w:rsid w:val="00604A3D"/>
    <w:rsid w:val="0061194B"/>
    <w:rsid w:val="006139C2"/>
    <w:rsid w:val="00615098"/>
    <w:rsid w:val="0061623D"/>
    <w:rsid w:val="00616608"/>
    <w:rsid w:val="00616F74"/>
    <w:rsid w:val="00620B1F"/>
    <w:rsid w:val="0062272D"/>
    <w:rsid w:val="00623FD8"/>
    <w:rsid w:val="006250B1"/>
    <w:rsid w:val="00625B15"/>
    <w:rsid w:val="006269BB"/>
    <w:rsid w:val="0063551D"/>
    <w:rsid w:val="00635E06"/>
    <w:rsid w:val="00637089"/>
    <w:rsid w:val="00643F32"/>
    <w:rsid w:val="006517EB"/>
    <w:rsid w:val="0065282D"/>
    <w:rsid w:val="006558DA"/>
    <w:rsid w:val="0065681C"/>
    <w:rsid w:val="00664CBD"/>
    <w:rsid w:val="00672992"/>
    <w:rsid w:val="00674B85"/>
    <w:rsid w:val="00677F78"/>
    <w:rsid w:val="0068646F"/>
    <w:rsid w:val="00693D82"/>
    <w:rsid w:val="006B328B"/>
    <w:rsid w:val="006B63C6"/>
    <w:rsid w:val="006B745B"/>
    <w:rsid w:val="006B7C30"/>
    <w:rsid w:val="006C7C4B"/>
    <w:rsid w:val="006C7C9E"/>
    <w:rsid w:val="006D04F9"/>
    <w:rsid w:val="006D324D"/>
    <w:rsid w:val="006D6414"/>
    <w:rsid w:val="006D6D42"/>
    <w:rsid w:val="006D75A8"/>
    <w:rsid w:val="006F09FB"/>
    <w:rsid w:val="006F0E0D"/>
    <w:rsid w:val="006F1B27"/>
    <w:rsid w:val="006F55FC"/>
    <w:rsid w:val="006F76C7"/>
    <w:rsid w:val="007210FA"/>
    <w:rsid w:val="007212F4"/>
    <w:rsid w:val="00740D91"/>
    <w:rsid w:val="00740F7D"/>
    <w:rsid w:val="0074632C"/>
    <w:rsid w:val="00751064"/>
    <w:rsid w:val="00751BA3"/>
    <w:rsid w:val="00757B27"/>
    <w:rsid w:val="007669C0"/>
    <w:rsid w:val="00767641"/>
    <w:rsid w:val="0077120A"/>
    <w:rsid w:val="00774ABA"/>
    <w:rsid w:val="00774B47"/>
    <w:rsid w:val="00775A09"/>
    <w:rsid w:val="007848D2"/>
    <w:rsid w:val="0079012D"/>
    <w:rsid w:val="007943D5"/>
    <w:rsid w:val="007A3A72"/>
    <w:rsid w:val="007A4FCC"/>
    <w:rsid w:val="007B4B32"/>
    <w:rsid w:val="007B6D25"/>
    <w:rsid w:val="007B74FA"/>
    <w:rsid w:val="007C3F77"/>
    <w:rsid w:val="007E12F2"/>
    <w:rsid w:val="007E3ED2"/>
    <w:rsid w:val="007E4C6A"/>
    <w:rsid w:val="007E4EF5"/>
    <w:rsid w:val="007F1AE1"/>
    <w:rsid w:val="007F342E"/>
    <w:rsid w:val="007F77DD"/>
    <w:rsid w:val="0080014D"/>
    <w:rsid w:val="00800D5F"/>
    <w:rsid w:val="008017E9"/>
    <w:rsid w:val="0080388A"/>
    <w:rsid w:val="00805457"/>
    <w:rsid w:val="0080732E"/>
    <w:rsid w:val="00810E6A"/>
    <w:rsid w:val="00811974"/>
    <w:rsid w:val="00812C30"/>
    <w:rsid w:val="00813929"/>
    <w:rsid w:val="0081472B"/>
    <w:rsid w:val="00815079"/>
    <w:rsid w:val="00815930"/>
    <w:rsid w:val="0081666B"/>
    <w:rsid w:val="00817C35"/>
    <w:rsid w:val="00823A6A"/>
    <w:rsid w:val="00824132"/>
    <w:rsid w:val="00841B08"/>
    <w:rsid w:val="00847EE2"/>
    <w:rsid w:val="008509CB"/>
    <w:rsid w:val="008516CD"/>
    <w:rsid w:val="00855971"/>
    <w:rsid w:val="008614B6"/>
    <w:rsid w:val="008643DF"/>
    <w:rsid w:val="00865256"/>
    <w:rsid w:val="00865E5B"/>
    <w:rsid w:val="00874A34"/>
    <w:rsid w:val="00876C87"/>
    <w:rsid w:val="008770E9"/>
    <w:rsid w:val="00883BE3"/>
    <w:rsid w:val="00884854"/>
    <w:rsid w:val="00885B92"/>
    <w:rsid w:val="008901E3"/>
    <w:rsid w:val="00890B04"/>
    <w:rsid w:val="00891350"/>
    <w:rsid w:val="00893C29"/>
    <w:rsid w:val="00894A8C"/>
    <w:rsid w:val="0089732D"/>
    <w:rsid w:val="008A05D4"/>
    <w:rsid w:val="008A41C5"/>
    <w:rsid w:val="008B242C"/>
    <w:rsid w:val="008B3571"/>
    <w:rsid w:val="008B4ADF"/>
    <w:rsid w:val="008C014B"/>
    <w:rsid w:val="008C29E5"/>
    <w:rsid w:val="008C3554"/>
    <w:rsid w:val="008C4BF7"/>
    <w:rsid w:val="008E400D"/>
    <w:rsid w:val="008E4A08"/>
    <w:rsid w:val="008E5D52"/>
    <w:rsid w:val="008E6756"/>
    <w:rsid w:val="008E67C4"/>
    <w:rsid w:val="008F64CF"/>
    <w:rsid w:val="008F7B31"/>
    <w:rsid w:val="009047DD"/>
    <w:rsid w:val="009105DD"/>
    <w:rsid w:val="00916546"/>
    <w:rsid w:val="00917AC4"/>
    <w:rsid w:val="00930820"/>
    <w:rsid w:val="00932D30"/>
    <w:rsid w:val="009417C8"/>
    <w:rsid w:val="00942DD3"/>
    <w:rsid w:val="00947218"/>
    <w:rsid w:val="009575AE"/>
    <w:rsid w:val="00962EC1"/>
    <w:rsid w:val="00965DA0"/>
    <w:rsid w:val="00972618"/>
    <w:rsid w:val="0097512E"/>
    <w:rsid w:val="00980AA3"/>
    <w:rsid w:val="00981401"/>
    <w:rsid w:val="009846E6"/>
    <w:rsid w:val="00993E4A"/>
    <w:rsid w:val="00996123"/>
    <w:rsid w:val="009B35EB"/>
    <w:rsid w:val="009B4842"/>
    <w:rsid w:val="009B671F"/>
    <w:rsid w:val="009C00A0"/>
    <w:rsid w:val="009C1CF8"/>
    <w:rsid w:val="009C3048"/>
    <w:rsid w:val="009C7886"/>
    <w:rsid w:val="009C790F"/>
    <w:rsid w:val="009D25C8"/>
    <w:rsid w:val="009D2756"/>
    <w:rsid w:val="009E7D14"/>
    <w:rsid w:val="009F181E"/>
    <w:rsid w:val="009F4767"/>
    <w:rsid w:val="009F6D0B"/>
    <w:rsid w:val="00A00044"/>
    <w:rsid w:val="00A00891"/>
    <w:rsid w:val="00A00A93"/>
    <w:rsid w:val="00A02105"/>
    <w:rsid w:val="00A16647"/>
    <w:rsid w:val="00A26DA8"/>
    <w:rsid w:val="00A3201E"/>
    <w:rsid w:val="00A32B40"/>
    <w:rsid w:val="00A3614D"/>
    <w:rsid w:val="00A420A2"/>
    <w:rsid w:val="00A5472F"/>
    <w:rsid w:val="00A55277"/>
    <w:rsid w:val="00A64498"/>
    <w:rsid w:val="00A67BB9"/>
    <w:rsid w:val="00A7037E"/>
    <w:rsid w:val="00A717FE"/>
    <w:rsid w:val="00A8129E"/>
    <w:rsid w:val="00A94D29"/>
    <w:rsid w:val="00A972C0"/>
    <w:rsid w:val="00A97BC0"/>
    <w:rsid w:val="00AA65B8"/>
    <w:rsid w:val="00AA6C6F"/>
    <w:rsid w:val="00AB4F88"/>
    <w:rsid w:val="00AD0BDD"/>
    <w:rsid w:val="00AD7E6F"/>
    <w:rsid w:val="00AE21CB"/>
    <w:rsid w:val="00AF5C4D"/>
    <w:rsid w:val="00B01429"/>
    <w:rsid w:val="00B07294"/>
    <w:rsid w:val="00B114F2"/>
    <w:rsid w:val="00B13319"/>
    <w:rsid w:val="00B2036D"/>
    <w:rsid w:val="00B2250F"/>
    <w:rsid w:val="00B232A3"/>
    <w:rsid w:val="00B2558E"/>
    <w:rsid w:val="00B30B80"/>
    <w:rsid w:val="00B3107F"/>
    <w:rsid w:val="00B32941"/>
    <w:rsid w:val="00B37CF7"/>
    <w:rsid w:val="00B41431"/>
    <w:rsid w:val="00B43D3F"/>
    <w:rsid w:val="00B45B9D"/>
    <w:rsid w:val="00B47BC0"/>
    <w:rsid w:val="00B50A38"/>
    <w:rsid w:val="00B60BC1"/>
    <w:rsid w:val="00B613AE"/>
    <w:rsid w:val="00B63FFB"/>
    <w:rsid w:val="00B65BDE"/>
    <w:rsid w:val="00B666BE"/>
    <w:rsid w:val="00B8322D"/>
    <w:rsid w:val="00B918B8"/>
    <w:rsid w:val="00B91B52"/>
    <w:rsid w:val="00B92633"/>
    <w:rsid w:val="00BA1FB6"/>
    <w:rsid w:val="00BB3A2D"/>
    <w:rsid w:val="00BB6C88"/>
    <w:rsid w:val="00BB73D6"/>
    <w:rsid w:val="00BC1ACE"/>
    <w:rsid w:val="00BC26F9"/>
    <w:rsid w:val="00BC54B9"/>
    <w:rsid w:val="00BC7451"/>
    <w:rsid w:val="00BD379F"/>
    <w:rsid w:val="00BD4021"/>
    <w:rsid w:val="00BD4E10"/>
    <w:rsid w:val="00BF27BD"/>
    <w:rsid w:val="00BF3229"/>
    <w:rsid w:val="00BF384C"/>
    <w:rsid w:val="00C04523"/>
    <w:rsid w:val="00C0767E"/>
    <w:rsid w:val="00C102C7"/>
    <w:rsid w:val="00C26B4F"/>
    <w:rsid w:val="00C327EE"/>
    <w:rsid w:val="00C33B88"/>
    <w:rsid w:val="00C37F7E"/>
    <w:rsid w:val="00C406B3"/>
    <w:rsid w:val="00C5114B"/>
    <w:rsid w:val="00C514BC"/>
    <w:rsid w:val="00C52898"/>
    <w:rsid w:val="00C531BA"/>
    <w:rsid w:val="00C61D8E"/>
    <w:rsid w:val="00C65016"/>
    <w:rsid w:val="00C6659C"/>
    <w:rsid w:val="00C6742F"/>
    <w:rsid w:val="00C74099"/>
    <w:rsid w:val="00C77021"/>
    <w:rsid w:val="00C82C6C"/>
    <w:rsid w:val="00C8471F"/>
    <w:rsid w:val="00C84D4A"/>
    <w:rsid w:val="00C86EED"/>
    <w:rsid w:val="00C8764F"/>
    <w:rsid w:val="00C90D18"/>
    <w:rsid w:val="00C910BC"/>
    <w:rsid w:val="00C911AE"/>
    <w:rsid w:val="00C91474"/>
    <w:rsid w:val="00C918C6"/>
    <w:rsid w:val="00C93923"/>
    <w:rsid w:val="00C97A92"/>
    <w:rsid w:val="00CC40A2"/>
    <w:rsid w:val="00CD12AC"/>
    <w:rsid w:val="00CD24E7"/>
    <w:rsid w:val="00CD360E"/>
    <w:rsid w:val="00CD52ED"/>
    <w:rsid w:val="00CE47E3"/>
    <w:rsid w:val="00CE67AF"/>
    <w:rsid w:val="00CE7311"/>
    <w:rsid w:val="00CF54CB"/>
    <w:rsid w:val="00D012A3"/>
    <w:rsid w:val="00D062A2"/>
    <w:rsid w:val="00D0747F"/>
    <w:rsid w:val="00D07718"/>
    <w:rsid w:val="00D12B64"/>
    <w:rsid w:val="00D15B36"/>
    <w:rsid w:val="00D205AA"/>
    <w:rsid w:val="00D23FA8"/>
    <w:rsid w:val="00D25578"/>
    <w:rsid w:val="00D25595"/>
    <w:rsid w:val="00D27ED9"/>
    <w:rsid w:val="00D301FC"/>
    <w:rsid w:val="00D3496D"/>
    <w:rsid w:val="00D37E34"/>
    <w:rsid w:val="00D415E3"/>
    <w:rsid w:val="00D41A75"/>
    <w:rsid w:val="00D41DD9"/>
    <w:rsid w:val="00D44E35"/>
    <w:rsid w:val="00D4724A"/>
    <w:rsid w:val="00D50121"/>
    <w:rsid w:val="00D55B56"/>
    <w:rsid w:val="00D55F61"/>
    <w:rsid w:val="00D62CF2"/>
    <w:rsid w:val="00D6360B"/>
    <w:rsid w:val="00D65F96"/>
    <w:rsid w:val="00D72E8C"/>
    <w:rsid w:val="00D74E87"/>
    <w:rsid w:val="00D76893"/>
    <w:rsid w:val="00D77078"/>
    <w:rsid w:val="00D92C1E"/>
    <w:rsid w:val="00DA3D01"/>
    <w:rsid w:val="00DA6460"/>
    <w:rsid w:val="00DB1EFD"/>
    <w:rsid w:val="00DC3A60"/>
    <w:rsid w:val="00DC429E"/>
    <w:rsid w:val="00DC6787"/>
    <w:rsid w:val="00DD12A8"/>
    <w:rsid w:val="00DE365D"/>
    <w:rsid w:val="00DE3871"/>
    <w:rsid w:val="00DE42EC"/>
    <w:rsid w:val="00DF633F"/>
    <w:rsid w:val="00DF6395"/>
    <w:rsid w:val="00E01222"/>
    <w:rsid w:val="00E10584"/>
    <w:rsid w:val="00E12E21"/>
    <w:rsid w:val="00E1494F"/>
    <w:rsid w:val="00E24105"/>
    <w:rsid w:val="00E42C16"/>
    <w:rsid w:val="00E459CC"/>
    <w:rsid w:val="00E5125D"/>
    <w:rsid w:val="00E52016"/>
    <w:rsid w:val="00E54378"/>
    <w:rsid w:val="00E5483F"/>
    <w:rsid w:val="00E573B3"/>
    <w:rsid w:val="00E660FC"/>
    <w:rsid w:val="00E66CD0"/>
    <w:rsid w:val="00E71D6E"/>
    <w:rsid w:val="00E8018E"/>
    <w:rsid w:val="00E86762"/>
    <w:rsid w:val="00E917BD"/>
    <w:rsid w:val="00E93D1D"/>
    <w:rsid w:val="00EA5EF3"/>
    <w:rsid w:val="00EA67A6"/>
    <w:rsid w:val="00EB3874"/>
    <w:rsid w:val="00EB4803"/>
    <w:rsid w:val="00EB7460"/>
    <w:rsid w:val="00EC1A94"/>
    <w:rsid w:val="00EC4DED"/>
    <w:rsid w:val="00ED09DC"/>
    <w:rsid w:val="00EE2EDD"/>
    <w:rsid w:val="00EE4E48"/>
    <w:rsid w:val="00EE73F7"/>
    <w:rsid w:val="00EE7823"/>
    <w:rsid w:val="00EE7B05"/>
    <w:rsid w:val="00EF14D6"/>
    <w:rsid w:val="00EF2F09"/>
    <w:rsid w:val="00EF68BC"/>
    <w:rsid w:val="00EF6BB1"/>
    <w:rsid w:val="00EF70D9"/>
    <w:rsid w:val="00F05778"/>
    <w:rsid w:val="00F063B3"/>
    <w:rsid w:val="00F10162"/>
    <w:rsid w:val="00F11F22"/>
    <w:rsid w:val="00F134C5"/>
    <w:rsid w:val="00F14594"/>
    <w:rsid w:val="00F14A39"/>
    <w:rsid w:val="00F15343"/>
    <w:rsid w:val="00F21469"/>
    <w:rsid w:val="00F22A3A"/>
    <w:rsid w:val="00F23326"/>
    <w:rsid w:val="00F36F8C"/>
    <w:rsid w:val="00F4382C"/>
    <w:rsid w:val="00F526A7"/>
    <w:rsid w:val="00F53EF3"/>
    <w:rsid w:val="00F64631"/>
    <w:rsid w:val="00F700C4"/>
    <w:rsid w:val="00F80CB4"/>
    <w:rsid w:val="00F810B2"/>
    <w:rsid w:val="00F834AF"/>
    <w:rsid w:val="00F8403F"/>
    <w:rsid w:val="00F84401"/>
    <w:rsid w:val="00F90084"/>
    <w:rsid w:val="00F93311"/>
    <w:rsid w:val="00F9376D"/>
    <w:rsid w:val="00F94DC5"/>
    <w:rsid w:val="00FA1598"/>
    <w:rsid w:val="00FA1AE1"/>
    <w:rsid w:val="00FB259D"/>
    <w:rsid w:val="00FB7179"/>
    <w:rsid w:val="00FC10E2"/>
    <w:rsid w:val="00FC42DB"/>
    <w:rsid w:val="00FC5588"/>
    <w:rsid w:val="00FC7177"/>
    <w:rsid w:val="00FC7343"/>
    <w:rsid w:val="00FD3D5B"/>
    <w:rsid w:val="00FD4DDB"/>
    <w:rsid w:val="00FD54DB"/>
    <w:rsid w:val="00FD68F7"/>
    <w:rsid w:val="00FE0680"/>
    <w:rsid w:val="00FE096B"/>
    <w:rsid w:val="00FE2077"/>
    <w:rsid w:val="00FE3922"/>
    <w:rsid w:val="00FE44E0"/>
    <w:rsid w:val="00FE4C8C"/>
    <w:rsid w:val="00FF6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D90D8-FD81-452B-885A-083D9D0F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0B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DCD"/>
    <w:pPr>
      <w:keepNext/>
      <w:spacing w:line="480" w:lineRule="auto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27756"/>
    <w:rPr>
      <w:rFonts w:ascii="Calibri" w:hAnsi="Calibri" w:cs="Times New Roman"/>
      <w:b/>
      <w:bCs/>
      <w:kern w:val="32"/>
      <w:sz w:val="32"/>
      <w:lang w:val="en-GB"/>
    </w:rPr>
  </w:style>
  <w:style w:type="table" w:customStyle="1" w:styleId="Thesisstyle">
    <w:name w:val="Thesis style"/>
    <w:uiPriority w:val="99"/>
    <w:rsid w:val="00482108"/>
    <w:rPr>
      <w:rFonts w:ascii="Times New Roman" w:hAnsi="Times New Roman"/>
      <w:sz w:val="24"/>
      <w:lang w:val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C514BC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bCs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14BC"/>
    <w:rPr>
      <w:rFonts w:ascii="Arial" w:hAnsi="Arial" w:cs="Times New Roman"/>
      <w:sz w:val="24"/>
    </w:rPr>
  </w:style>
  <w:style w:type="character" w:styleId="Hyperlink">
    <w:name w:val="Hyperlink"/>
    <w:basedOn w:val="DefaultParagraphFont"/>
    <w:uiPriority w:val="99"/>
    <w:rsid w:val="00E917BD"/>
    <w:rPr>
      <w:rFonts w:cs="Times New Roman"/>
      <w:color w:val="0563C1"/>
      <w:u w:val="single"/>
    </w:rPr>
  </w:style>
  <w:style w:type="character" w:styleId="LineNumber">
    <w:name w:val="line number"/>
    <w:basedOn w:val="DefaultParagraphFont"/>
    <w:uiPriority w:val="99"/>
    <w:semiHidden/>
    <w:rsid w:val="00023D11"/>
    <w:rPr>
      <w:rFonts w:cs="Times New Roman"/>
    </w:rPr>
  </w:style>
  <w:style w:type="paragraph" w:customStyle="1" w:styleId="Default">
    <w:name w:val="Default"/>
    <w:uiPriority w:val="99"/>
    <w:rsid w:val="000619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customStyle="1" w:styleId="TableGridLight1">
    <w:name w:val="Table Grid Light1"/>
    <w:uiPriority w:val="99"/>
    <w:rsid w:val="00061927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3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42DD3"/>
    <w:pPr>
      <w:spacing w:line="480" w:lineRule="auto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66A99"/>
    <w:rPr>
      <w:rFonts w:cs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F81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8CF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D2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Cantalejo</dc:creator>
  <cp:keywords/>
  <cp:lastModifiedBy>Blanca Cantalejo</cp:lastModifiedBy>
  <cp:revision>4</cp:revision>
  <dcterms:created xsi:type="dcterms:W3CDTF">2019-10-20T14:34:00Z</dcterms:created>
  <dcterms:modified xsi:type="dcterms:W3CDTF">2019-10-20T14:39:00Z</dcterms:modified>
</cp:coreProperties>
</file>