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2" w:rsidRPr="000E33B5" w:rsidRDefault="001F08B2" w:rsidP="00C910BC">
      <w:pPr>
        <w:spacing w:after="200" w:line="276" w:lineRule="auto"/>
        <w:rPr>
          <w:rFonts w:ascii="Times New Roman" w:hAnsi="Times New Roman"/>
          <w:b/>
          <w:sz w:val="24"/>
          <w:lang w:eastAsia="en-GB"/>
        </w:rPr>
      </w:pPr>
      <w:r w:rsidRPr="000E33B5">
        <w:rPr>
          <w:rFonts w:ascii="Times New Roman" w:hAnsi="Times New Roman"/>
          <w:b/>
          <w:sz w:val="24"/>
          <w:lang w:eastAsia="en-GB"/>
        </w:rPr>
        <w:t>Supplementary material 3 Sediment accumulation rates (SARs) for logged intervals</w:t>
      </w:r>
    </w:p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Table 6.</w:t>
      </w:r>
    </w:p>
    <w:tbl>
      <w:tblPr>
        <w:tblW w:w="5000" w:type="pct"/>
        <w:jc w:val="center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3951"/>
        <w:gridCol w:w="2712"/>
      </w:tblGrid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7F7F7F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>SARs in the Gerbe section calculated from tuning the records to eccentricity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7F7F7F"/>
              <w:left w:val="single" w:sz="4" w:space="0" w:color="FFFFFF"/>
              <w:bottom w:val="single" w:sz="4" w:space="0" w:color="7F7F7F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interval (m)</w:t>
            </w:r>
          </w:p>
        </w:tc>
        <w:tc>
          <w:tcPr>
            <w:tcW w:w="2191" w:type="pct"/>
            <w:tcBorders>
              <w:top w:val="single" w:sz="4" w:space="0" w:color="7F7F7F"/>
              <w:left w:val="single" w:sz="4" w:space="0" w:color="F2F2F2"/>
              <w:bottom w:val="single" w:sz="4" w:space="0" w:color="7F7F7F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interval (Ma)</w:t>
            </w:r>
          </w:p>
        </w:tc>
        <w:tc>
          <w:tcPr>
            <w:tcW w:w="1504" w:type="pct"/>
            <w:tcBorders>
              <w:top w:val="single" w:sz="4" w:space="0" w:color="7F7F7F"/>
              <w:left w:val="single" w:sz="4" w:space="0" w:color="F2F2F2"/>
              <w:bottom w:val="single" w:sz="4" w:space="0" w:color="7F7F7F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SAR (cm/kyr)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7F7F7F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7.6</w:t>
            </w:r>
          </w:p>
        </w:tc>
        <w:tc>
          <w:tcPr>
            <w:tcW w:w="2191" w:type="pct"/>
            <w:tcBorders>
              <w:top w:val="single" w:sz="4" w:space="0" w:color="7F7F7F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47.365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47.338</w:t>
            </w:r>
          </w:p>
        </w:tc>
        <w:tc>
          <w:tcPr>
            <w:tcW w:w="1504" w:type="pct"/>
            <w:tcBorders>
              <w:top w:val="single" w:sz="4" w:space="0" w:color="7F7F7F"/>
              <w:left w:val="single" w:sz="4" w:space="0" w:color="F2F2F2"/>
              <w:bottom w:val="single" w:sz="4" w:space="0" w:color="F2F2F2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28.6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7.6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37.4</w:t>
            </w:r>
          </w:p>
        </w:tc>
        <w:tc>
          <w:tcPr>
            <w:tcW w:w="21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47.338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47.236</w:t>
            </w:r>
          </w:p>
        </w:tc>
        <w:tc>
          <w:tcPr>
            <w:tcW w:w="1504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29.2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37.4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58.3</w:t>
            </w:r>
          </w:p>
        </w:tc>
        <w:tc>
          <w:tcPr>
            <w:tcW w:w="21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47.236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47.189</w:t>
            </w:r>
          </w:p>
        </w:tc>
        <w:tc>
          <w:tcPr>
            <w:tcW w:w="1504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44.4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58.3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102.5</w:t>
            </w:r>
          </w:p>
        </w:tc>
        <w:tc>
          <w:tcPr>
            <w:tcW w:w="21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47.189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47.082</w:t>
            </w:r>
          </w:p>
        </w:tc>
        <w:tc>
          <w:tcPr>
            <w:tcW w:w="1504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41.3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102.5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179.5</w:t>
            </w:r>
          </w:p>
        </w:tc>
        <w:tc>
          <w:tcPr>
            <w:tcW w:w="21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47.082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46.96</w:t>
            </w:r>
          </w:p>
        </w:tc>
        <w:tc>
          <w:tcPr>
            <w:tcW w:w="1504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63.1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F2F2F2"/>
              <w:left w:val="single" w:sz="4" w:space="0" w:color="FFFFFF"/>
              <w:bottom w:val="single" w:sz="4" w:space="0" w:color="7F7F7F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179.5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200.6</w:t>
            </w:r>
          </w:p>
        </w:tc>
        <w:tc>
          <w:tcPr>
            <w:tcW w:w="2191" w:type="pct"/>
            <w:tcBorders>
              <w:top w:val="single" w:sz="4" w:space="0" w:color="F2F2F2"/>
              <w:left w:val="single" w:sz="4" w:space="0" w:color="F2F2F2"/>
              <w:bottom w:val="single" w:sz="4" w:space="0" w:color="7F7F7F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46.96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46.9266</w:t>
            </w:r>
          </w:p>
        </w:tc>
        <w:tc>
          <w:tcPr>
            <w:tcW w:w="1504" w:type="pct"/>
            <w:tcBorders>
              <w:top w:val="single" w:sz="4" w:space="0" w:color="F2F2F2"/>
              <w:left w:val="single" w:sz="4" w:space="0" w:color="F2F2F2"/>
              <w:bottom w:val="single" w:sz="4" w:space="0" w:color="7F7F7F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center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63.2 cm/kyr</w:t>
            </w:r>
          </w:p>
        </w:tc>
      </w:tr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both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SARs calculated at different time intervals throughout the Gerbe section length. Averaged SAR is 47 cm/kyr.</w:t>
            </w:r>
          </w:p>
        </w:tc>
      </w:tr>
    </w:tbl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Table 7.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7E6E6"/>
          <w:insideV w:val="single" w:sz="4" w:space="0" w:color="E7E6E6"/>
        </w:tblBorders>
        <w:tblLook w:val="00A0" w:firstRow="1" w:lastRow="0" w:firstColumn="1" w:lastColumn="0" w:noHBand="0" w:noVBand="0"/>
      </w:tblPr>
      <w:tblGrid>
        <w:gridCol w:w="2584"/>
        <w:gridCol w:w="3722"/>
        <w:gridCol w:w="2710"/>
      </w:tblGrid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F08B2" w:rsidRPr="00597E56" w:rsidRDefault="001F08B2" w:rsidP="00C910BC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>SARs in the Labuerda section 2 calculated from tuning the records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interval (m)</w:t>
            </w:r>
          </w:p>
        </w:tc>
        <w:tc>
          <w:tcPr>
            <w:tcW w:w="2064" w:type="pct"/>
            <w:tcBorders>
              <w:top w:val="single" w:sz="4" w:space="0" w:color="000000"/>
              <w:bottom w:val="single" w:sz="4" w:space="0" w:color="000000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interval (Ma)</w:t>
            </w:r>
          </w:p>
        </w:tc>
        <w:tc>
          <w:tcPr>
            <w:tcW w:w="1504" w:type="pct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SAR (cm/kyr)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35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46.1964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46.098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34.5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46.098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.994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34.5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110.5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 xml:space="preserve">.994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.891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37.5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110.5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166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.891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.789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54.4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166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209.4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.789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.618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24.4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209.4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243.8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45,618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.512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32.4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243.8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277.4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.512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.409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32.5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277.4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314.8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.409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.323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44.6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314.8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357</w:t>
            </w:r>
          </w:p>
        </w:tc>
        <w:tc>
          <w:tcPr>
            <w:tcW w:w="206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.323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.17</w:t>
            </w:r>
          </w:p>
        </w:tc>
        <w:tc>
          <w:tcPr>
            <w:tcW w:w="1504" w:type="pct"/>
            <w:tcBorders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26.9</w:t>
            </w:r>
          </w:p>
        </w:tc>
      </w:tr>
      <w:tr w:rsidR="001F08B2" w:rsidRPr="00597E56">
        <w:trPr>
          <w:jc w:val="center"/>
        </w:trPr>
        <w:tc>
          <w:tcPr>
            <w:tcW w:w="1433" w:type="pct"/>
            <w:tcBorders>
              <w:left w:val="single" w:sz="4" w:space="0" w:color="FFFFFF"/>
              <w:bottom w:val="single" w:sz="4" w:space="0" w:color="000000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357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367</w:t>
            </w:r>
          </w:p>
        </w:tc>
        <w:tc>
          <w:tcPr>
            <w:tcW w:w="2064" w:type="pct"/>
            <w:tcBorders>
              <w:bottom w:val="single" w:sz="4" w:space="0" w:color="000000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.17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97E56">
              <w:rPr>
                <w:rFonts w:ascii="Times New Roman" w:hAnsi="Times New Roman"/>
              </w:rPr>
              <w:t>.1336</w:t>
            </w:r>
          </w:p>
        </w:tc>
        <w:tc>
          <w:tcPr>
            <w:tcW w:w="1504" w:type="pct"/>
            <w:tcBorders>
              <w:bottom w:val="single" w:sz="4" w:space="0" w:color="000000"/>
              <w:right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26.7</w:t>
            </w:r>
          </w:p>
        </w:tc>
      </w:tr>
      <w:tr w:rsidR="001F08B2" w:rsidRPr="00597E56">
        <w:trPr>
          <w:trHeight w:val="69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jc w:val="both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= SARs calculated at different time intervals throughout the Labuerda section 2. The averaged SAR is 35 cm/kyr.</w:t>
            </w:r>
          </w:p>
        </w:tc>
      </w:tr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FA43AB" w:rsidRDefault="00FA43AB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lastRenderedPageBreak/>
        <w:t>Table 8.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2F2F2"/>
          <w:insideV w:val="single" w:sz="4" w:space="0" w:color="F2F2F2"/>
        </w:tblBorders>
        <w:tblLook w:val="00A0" w:firstRow="1" w:lastRow="0" w:firstColumn="1" w:lastColumn="0" w:noHBand="0" w:noVBand="0"/>
      </w:tblPr>
      <w:tblGrid>
        <w:gridCol w:w="2353"/>
        <w:gridCol w:w="3951"/>
        <w:gridCol w:w="2712"/>
      </w:tblGrid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SARs </w:t>
            </w:r>
            <w:r w:rsidRPr="00597E56">
              <w:rPr>
                <w:rFonts w:ascii="Times New Roman" w:hAnsi="Times New Roman"/>
                <w:b/>
                <w:iCs/>
              </w:rPr>
              <w:t>in the Boltaña section cal</w:t>
            </w:r>
            <w:r>
              <w:rPr>
                <w:rFonts w:ascii="Times New Roman" w:hAnsi="Times New Roman"/>
                <w:b/>
                <w:iCs/>
              </w:rPr>
              <w:t>culated from tuning the records.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interval (m)</w:t>
            </w:r>
          </w:p>
        </w:tc>
        <w:tc>
          <w:tcPr>
            <w:tcW w:w="2191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interval (Ma)</w:t>
            </w:r>
          </w:p>
        </w:tc>
        <w:tc>
          <w:tcPr>
            <w:tcW w:w="1504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SAR (cm/kyr)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2191" w:type="pct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45.2964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45.226</w:t>
            </w:r>
          </w:p>
        </w:tc>
        <w:tc>
          <w:tcPr>
            <w:tcW w:w="1504" w:type="pct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27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47.4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219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45.226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45.12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26.8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79.4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47.4</w:t>
            </w:r>
          </w:p>
        </w:tc>
        <w:tc>
          <w:tcPr>
            <w:tcW w:w="219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45.12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45.015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30.5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104.8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79.4</w:t>
            </w:r>
          </w:p>
        </w:tc>
        <w:tc>
          <w:tcPr>
            <w:tcW w:w="219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45.015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44.9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24.28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130.2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104.8</w:t>
            </w:r>
          </w:p>
        </w:tc>
        <w:tc>
          <w:tcPr>
            <w:tcW w:w="219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44.9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44.795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24.2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157.8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130.2</w:t>
            </w:r>
          </w:p>
        </w:tc>
        <w:tc>
          <w:tcPr>
            <w:tcW w:w="219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44.795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44.619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14.7 cm/kyr</w:t>
            </w:r>
          </w:p>
        </w:tc>
      </w:tr>
      <w:tr w:rsidR="001F08B2" w:rsidRPr="00597E56">
        <w:trPr>
          <w:jc w:val="center"/>
        </w:trPr>
        <w:tc>
          <w:tcPr>
            <w:tcW w:w="1305" w:type="pct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167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157.8</w:t>
            </w:r>
          </w:p>
        </w:tc>
        <w:tc>
          <w:tcPr>
            <w:tcW w:w="2191" w:type="pct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44.619 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</w:rPr>
              <w:t xml:space="preserve"> 44.56</w:t>
            </w:r>
          </w:p>
        </w:tc>
        <w:tc>
          <w:tcPr>
            <w:tcW w:w="1504" w:type="pct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14.6 cm/kyr</w:t>
            </w:r>
          </w:p>
        </w:tc>
      </w:tr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7F7F7F"/>
              <w:bottom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both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SARs calculated at different time intervals throughout the Boltaña section. SAR change from 14</w:t>
            </w:r>
            <w:r w:rsidRPr="001D0890">
              <w:rPr>
                <w:rFonts w:ascii="Times New Roman" w:hAnsi="Times New Roman"/>
              </w:rPr>
              <w:t>–</w:t>
            </w:r>
            <w:r w:rsidRPr="00597E56">
              <w:rPr>
                <w:rFonts w:ascii="Times New Roman" w:hAnsi="Times New Roman"/>
                <w:iCs/>
              </w:rPr>
              <w:t>30 cm/kyr and have averaged values of 24 cm/kyr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</w:tbl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Table 9.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2F2F2"/>
          <w:insideV w:val="single" w:sz="4" w:space="0" w:color="F2F2F2"/>
        </w:tblBorders>
        <w:tblLook w:val="00A0" w:firstRow="1" w:lastRow="0" w:firstColumn="1" w:lastColumn="0" w:noHBand="0" w:noVBand="0"/>
      </w:tblPr>
      <w:tblGrid>
        <w:gridCol w:w="2768"/>
        <w:gridCol w:w="3536"/>
        <w:gridCol w:w="2712"/>
      </w:tblGrid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>Table 5.35 SAR in the Forcaz section calculated from tuning the records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interval (m)</w:t>
            </w:r>
          </w:p>
        </w:tc>
        <w:tc>
          <w:tcPr>
            <w:tcW w:w="1961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interval (Ma)</w:t>
            </w:r>
          </w:p>
        </w:tc>
        <w:tc>
          <w:tcPr>
            <w:tcW w:w="1504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SAR (cm/kyr)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9.2</w:t>
            </w:r>
          </w:p>
        </w:tc>
        <w:tc>
          <w:tcPr>
            <w:tcW w:w="1961" w:type="pct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44.6372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 xml:space="preserve">44.619 </w:t>
            </w:r>
          </w:p>
        </w:tc>
        <w:tc>
          <w:tcPr>
            <w:tcW w:w="1504" w:type="pct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50.5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9.2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26.6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44.619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44.585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51.1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26.6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50.4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44.585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44.488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24.5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50.4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67.4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44.488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44.384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16.3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67.4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114.8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44.384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44.28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44.6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114.8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143.6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44.28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44.181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29.1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143.6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161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44.181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44.099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21.2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161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174.8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44.099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44.053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32.1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174.8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  <w:iCs/>
              </w:rPr>
              <w:t>185</w:t>
            </w:r>
          </w:p>
        </w:tc>
        <w:tc>
          <w:tcPr>
            <w:tcW w:w="1961" w:type="pct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44.053 </w:t>
            </w:r>
            <w:r w:rsidRPr="001D0890">
              <w:rPr>
                <w:rFonts w:ascii="Times New Roman" w:hAnsi="Times New Roman"/>
              </w:rPr>
              <w:t xml:space="preserve">– </w:t>
            </w:r>
            <w:r w:rsidRPr="00597E56">
              <w:rPr>
                <w:rFonts w:ascii="Times New Roman" w:hAnsi="Times New Roman"/>
              </w:rPr>
              <w:t>44.0236</w:t>
            </w:r>
          </w:p>
        </w:tc>
        <w:tc>
          <w:tcPr>
            <w:tcW w:w="1504" w:type="pct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34.8 cm/kyr</w:t>
            </w:r>
          </w:p>
        </w:tc>
      </w:tr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7F7F7F"/>
              <w:bottom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SARs calculated at different time intervals throughout the Forcaz section length. Average sedimentation rate is 29.4 cm/kyr. This SAR is very similar to the one calculated in the A6 core sediments at 28.5 cm/kyr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</w:tbl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FA43AB" w:rsidRDefault="00FA43AB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  <w:r>
        <w:rPr>
          <w:rFonts w:ascii="Times New Roman" w:hAnsi="Times New Roman"/>
          <w:sz w:val="24"/>
          <w:lang w:eastAsia="en-GB"/>
        </w:rPr>
        <w:lastRenderedPageBreak/>
        <w:t>Table 10.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2F2F2"/>
          <w:insideV w:val="single" w:sz="4" w:space="0" w:color="F2F2F2"/>
        </w:tblBorders>
        <w:tblLook w:val="00A0" w:firstRow="1" w:lastRow="0" w:firstColumn="1" w:lastColumn="0" w:noHBand="0" w:noVBand="0"/>
      </w:tblPr>
      <w:tblGrid>
        <w:gridCol w:w="2768"/>
        <w:gridCol w:w="3536"/>
        <w:gridCol w:w="2712"/>
      </w:tblGrid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bottom w:val="single" w:sz="4" w:space="0" w:color="7F7F7F"/>
            </w:tcBorders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 xml:space="preserve">Table 5.35 SAR in the </w:t>
            </w:r>
            <w:r>
              <w:rPr>
                <w:rFonts w:ascii="Times New Roman" w:hAnsi="Times New Roman"/>
                <w:b/>
                <w:iCs/>
              </w:rPr>
              <w:t>Morillo Reservoir</w:t>
            </w:r>
            <w:r w:rsidRPr="00597E56">
              <w:rPr>
                <w:rFonts w:ascii="Times New Roman" w:hAnsi="Times New Roman"/>
                <w:b/>
                <w:iCs/>
              </w:rPr>
              <w:t xml:space="preserve"> section calculated from tuning the records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interval (m)</w:t>
            </w:r>
          </w:p>
        </w:tc>
        <w:tc>
          <w:tcPr>
            <w:tcW w:w="1961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interval (Ma)</w:t>
            </w:r>
          </w:p>
        </w:tc>
        <w:tc>
          <w:tcPr>
            <w:tcW w:w="1504" w:type="pct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SAR (cm/kyr)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  <w:tcBorders>
              <w:top w:val="single" w:sz="4" w:space="0" w:color="7F7F7F"/>
            </w:tcBorders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4.8</w:t>
            </w:r>
          </w:p>
        </w:tc>
        <w:tc>
          <w:tcPr>
            <w:tcW w:w="1961" w:type="pct"/>
            <w:tcBorders>
              <w:top w:val="single" w:sz="4" w:space="0" w:color="7F7F7F"/>
            </w:tcBorders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44.6</w:t>
            </w:r>
            <w:r>
              <w:rPr>
                <w:rFonts w:ascii="Times New Roman" w:hAnsi="Times New Roman"/>
              </w:rPr>
              <w:t xml:space="preserve">42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43.635</w:t>
            </w:r>
            <w:r w:rsidRPr="00597E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14.5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4.8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18.4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44.6</w:t>
            </w:r>
            <w:r>
              <w:rPr>
                <w:rFonts w:ascii="Times New Roman" w:hAnsi="Times New Roman"/>
              </w:rPr>
              <w:t xml:space="preserve">35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43.614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15.4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18.4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30.2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43.614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43.594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30.2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43.2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3.594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43.572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43.2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57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3.572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43.541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22.5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57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68.8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3.541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43.523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15.2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68.8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80.8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3.523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43.502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17.5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80.8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93.2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3.502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43.481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</w:tcPr>
          <w:p w:rsidR="001F08B2" w:rsidRDefault="001F08B2" w:rsidP="00574FC6">
            <w:pPr>
              <w:spacing w:after="20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93.2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103</w:t>
            </w:r>
          </w:p>
        </w:tc>
        <w:tc>
          <w:tcPr>
            <w:tcW w:w="1961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43.481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43.459</w:t>
            </w:r>
          </w:p>
        </w:tc>
        <w:tc>
          <w:tcPr>
            <w:tcW w:w="1504" w:type="pct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22.4 cm/kyr</w:t>
            </w:r>
          </w:p>
        </w:tc>
      </w:tr>
      <w:tr w:rsidR="001F08B2" w:rsidRPr="00597E56">
        <w:trPr>
          <w:trHeight w:val="618"/>
          <w:jc w:val="center"/>
        </w:trPr>
        <w:tc>
          <w:tcPr>
            <w:tcW w:w="1535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115.4</w:t>
            </w:r>
          </w:p>
        </w:tc>
        <w:tc>
          <w:tcPr>
            <w:tcW w:w="1961" w:type="pct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3.459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43.434</w:t>
            </w:r>
          </w:p>
        </w:tc>
        <w:tc>
          <w:tcPr>
            <w:tcW w:w="1504" w:type="pct"/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20.1 </w:t>
            </w:r>
            <w:r w:rsidRPr="00597E56">
              <w:rPr>
                <w:rFonts w:ascii="Times New Roman" w:hAnsi="Times New Roman"/>
              </w:rPr>
              <w:t>cm/kyr</w:t>
            </w:r>
          </w:p>
        </w:tc>
      </w:tr>
      <w:tr w:rsidR="001F08B2" w:rsidRPr="00597E56">
        <w:trPr>
          <w:jc w:val="center"/>
        </w:trPr>
        <w:tc>
          <w:tcPr>
            <w:tcW w:w="1535" w:type="pct"/>
            <w:tcBorders>
              <w:bottom w:val="single" w:sz="4" w:space="0" w:color="7F7F7F"/>
            </w:tcBorders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15.4</w:t>
            </w:r>
            <w:r>
              <w:rPr>
                <w:rFonts w:ascii="Times New Roman" w:hAnsi="Times New Roman"/>
              </w:rPr>
              <w:t xml:space="preserve">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123</w:t>
            </w:r>
          </w:p>
        </w:tc>
        <w:tc>
          <w:tcPr>
            <w:tcW w:w="1961" w:type="pct"/>
            <w:tcBorders>
              <w:bottom w:val="single" w:sz="4" w:space="0" w:color="7F7F7F"/>
            </w:tcBorders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3.434 </w:t>
            </w:r>
            <w:r w:rsidRPr="001D089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43.418</w:t>
            </w:r>
          </w:p>
        </w:tc>
        <w:tc>
          <w:tcPr>
            <w:tcW w:w="1504" w:type="pct"/>
            <w:tcBorders>
              <w:bottom w:val="single" w:sz="4" w:space="0" w:color="7F7F7F"/>
            </w:tcBorders>
          </w:tcPr>
          <w:p w:rsidR="001F08B2" w:rsidRPr="00597E56" w:rsidRDefault="001F08B2" w:rsidP="00EE4E48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  <w:r w:rsidRPr="00597E56">
              <w:rPr>
                <w:rFonts w:ascii="Times New Roman" w:hAnsi="Times New Roman"/>
              </w:rPr>
              <w:t xml:space="preserve"> cm/kyr</w:t>
            </w:r>
          </w:p>
        </w:tc>
      </w:tr>
      <w:tr w:rsidR="001F08B2" w:rsidRPr="00597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7F7F7F"/>
              <w:bottom w:val="single" w:sz="4" w:space="0" w:color="FFFFFF"/>
            </w:tcBorders>
          </w:tcPr>
          <w:p w:rsidR="001F08B2" w:rsidRPr="00597E56" w:rsidRDefault="001F08B2" w:rsidP="007848D2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 xml:space="preserve">SARs calculated at different time intervals throughout the </w:t>
            </w:r>
            <w:r>
              <w:rPr>
                <w:rFonts w:ascii="Times New Roman" w:hAnsi="Times New Roman"/>
                <w:iCs/>
              </w:rPr>
              <w:t>Morillo reservoir</w:t>
            </w:r>
            <w:r w:rsidRPr="00597E56">
              <w:rPr>
                <w:rFonts w:ascii="Times New Roman" w:hAnsi="Times New Roman"/>
                <w:iCs/>
              </w:rPr>
              <w:t xml:space="preserve"> section length. Average sedimentation rate is </w:t>
            </w:r>
            <w:r>
              <w:rPr>
                <w:rFonts w:ascii="Times New Roman" w:hAnsi="Times New Roman"/>
                <w:iCs/>
              </w:rPr>
              <w:t>19 cm/kyr.</w:t>
            </w:r>
          </w:p>
        </w:tc>
      </w:tr>
    </w:tbl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sectPr w:rsidR="001F08B2" w:rsidSect="00023D11">
      <w:footerReference w:type="default" r:id="rId7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F6" w:rsidRDefault="002A1BF6">
      <w:pPr>
        <w:spacing w:after="0" w:line="240" w:lineRule="auto"/>
      </w:pPr>
      <w:r>
        <w:separator/>
      </w:r>
    </w:p>
  </w:endnote>
  <w:endnote w:type="continuationSeparator" w:id="0">
    <w:p w:rsidR="002A1BF6" w:rsidRDefault="002A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7" w:rsidRDefault="001F2CB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43AB">
      <w:rPr>
        <w:noProof/>
      </w:rPr>
      <w:t>3</w:t>
    </w:r>
    <w:r>
      <w:rPr>
        <w:noProof/>
      </w:rPr>
      <w:fldChar w:fldCharType="end"/>
    </w:r>
  </w:p>
  <w:p w:rsidR="001F2CB7" w:rsidRDefault="001F2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F6" w:rsidRDefault="002A1BF6">
      <w:pPr>
        <w:spacing w:after="0" w:line="240" w:lineRule="auto"/>
      </w:pPr>
      <w:r>
        <w:separator/>
      </w:r>
    </w:p>
  </w:footnote>
  <w:footnote w:type="continuationSeparator" w:id="0">
    <w:p w:rsidR="002A1BF6" w:rsidRDefault="002A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D53A1"/>
    <w:multiLevelType w:val="hybridMultilevel"/>
    <w:tmpl w:val="6AAE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FD"/>
    <w:rsid w:val="00001BEF"/>
    <w:rsid w:val="00010277"/>
    <w:rsid w:val="0001762A"/>
    <w:rsid w:val="000201F2"/>
    <w:rsid w:val="00023D11"/>
    <w:rsid w:val="00027622"/>
    <w:rsid w:val="0003064D"/>
    <w:rsid w:val="00030834"/>
    <w:rsid w:val="00032641"/>
    <w:rsid w:val="0003618F"/>
    <w:rsid w:val="000433A1"/>
    <w:rsid w:val="0004461E"/>
    <w:rsid w:val="00051B4C"/>
    <w:rsid w:val="00055341"/>
    <w:rsid w:val="0006034A"/>
    <w:rsid w:val="000616D8"/>
    <w:rsid w:val="00061927"/>
    <w:rsid w:val="00065153"/>
    <w:rsid w:val="0006768E"/>
    <w:rsid w:val="000736DC"/>
    <w:rsid w:val="00077649"/>
    <w:rsid w:val="000776F1"/>
    <w:rsid w:val="00081F2C"/>
    <w:rsid w:val="0008663E"/>
    <w:rsid w:val="00087A4D"/>
    <w:rsid w:val="00092DBC"/>
    <w:rsid w:val="000A05FF"/>
    <w:rsid w:val="000A08F6"/>
    <w:rsid w:val="000B55FD"/>
    <w:rsid w:val="000B5949"/>
    <w:rsid w:val="000B5955"/>
    <w:rsid w:val="000B7A57"/>
    <w:rsid w:val="000C1417"/>
    <w:rsid w:val="000C2359"/>
    <w:rsid w:val="000D4E8B"/>
    <w:rsid w:val="000E33B5"/>
    <w:rsid w:val="000F070D"/>
    <w:rsid w:val="000F5827"/>
    <w:rsid w:val="000F7D0B"/>
    <w:rsid w:val="00110A9D"/>
    <w:rsid w:val="00121E4A"/>
    <w:rsid w:val="00124B46"/>
    <w:rsid w:val="00133990"/>
    <w:rsid w:val="001507E9"/>
    <w:rsid w:val="001508D3"/>
    <w:rsid w:val="00150C26"/>
    <w:rsid w:val="0015140B"/>
    <w:rsid w:val="00155FBB"/>
    <w:rsid w:val="00156AF2"/>
    <w:rsid w:val="00164DEB"/>
    <w:rsid w:val="00167DA9"/>
    <w:rsid w:val="00170B01"/>
    <w:rsid w:val="0017176D"/>
    <w:rsid w:val="0017294B"/>
    <w:rsid w:val="00173C6E"/>
    <w:rsid w:val="00173F72"/>
    <w:rsid w:val="0017639B"/>
    <w:rsid w:val="001840F9"/>
    <w:rsid w:val="00193658"/>
    <w:rsid w:val="00193A91"/>
    <w:rsid w:val="001A1AB3"/>
    <w:rsid w:val="001A3C5E"/>
    <w:rsid w:val="001C02E9"/>
    <w:rsid w:val="001C538D"/>
    <w:rsid w:val="001C64F9"/>
    <w:rsid w:val="001C714F"/>
    <w:rsid w:val="001D0890"/>
    <w:rsid w:val="001D2755"/>
    <w:rsid w:val="001D5F18"/>
    <w:rsid w:val="001E4C50"/>
    <w:rsid w:val="001E5027"/>
    <w:rsid w:val="001E65D8"/>
    <w:rsid w:val="001F08B2"/>
    <w:rsid w:val="001F2CB7"/>
    <w:rsid w:val="001F356D"/>
    <w:rsid w:val="001F3EC6"/>
    <w:rsid w:val="001F4687"/>
    <w:rsid w:val="001F7568"/>
    <w:rsid w:val="00202258"/>
    <w:rsid w:val="002055F1"/>
    <w:rsid w:val="00213FD6"/>
    <w:rsid w:val="00216CA7"/>
    <w:rsid w:val="002227F4"/>
    <w:rsid w:val="002246AA"/>
    <w:rsid w:val="002309A8"/>
    <w:rsid w:val="0023271D"/>
    <w:rsid w:val="002367AD"/>
    <w:rsid w:val="00236CD2"/>
    <w:rsid w:val="00237275"/>
    <w:rsid w:val="00237612"/>
    <w:rsid w:val="00245F91"/>
    <w:rsid w:val="00255F1D"/>
    <w:rsid w:val="002640B4"/>
    <w:rsid w:val="0027313D"/>
    <w:rsid w:val="002758FE"/>
    <w:rsid w:val="002812C9"/>
    <w:rsid w:val="0028563A"/>
    <w:rsid w:val="002878DC"/>
    <w:rsid w:val="00293C7E"/>
    <w:rsid w:val="00297961"/>
    <w:rsid w:val="00297D57"/>
    <w:rsid w:val="002A1BF6"/>
    <w:rsid w:val="002A26E6"/>
    <w:rsid w:val="002B28D2"/>
    <w:rsid w:val="002B5CBA"/>
    <w:rsid w:val="002B72B0"/>
    <w:rsid w:val="002C07E4"/>
    <w:rsid w:val="002C29ED"/>
    <w:rsid w:val="002C76F8"/>
    <w:rsid w:val="002D0100"/>
    <w:rsid w:val="002D36A4"/>
    <w:rsid w:val="002D6494"/>
    <w:rsid w:val="002F2356"/>
    <w:rsid w:val="002F2821"/>
    <w:rsid w:val="002F5065"/>
    <w:rsid w:val="002F6611"/>
    <w:rsid w:val="003007CD"/>
    <w:rsid w:val="00301B3A"/>
    <w:rsid w:val="00301B7B"/>
    <w:rsid w:val="003036F9"/>
    <w:rsid w:val="00306D6A"/>
    <w:rsid w:val="003070B9"/>
    <w:rsid w:val="003103C0"/>
    <w:rsid w:val="00313E7C"/>
    <w:rsid w:val="003207DA"/>
    <w:rsid w:val="00322A50"/>
    <w:rsid w:val="003230E9"/>
    <w:rsid w:val="003239F3"/>
    <w:rsid w:val="00327C01"/>
    <w:rsid w:val="00327E2F"/>
    <w:rsid w:val="003325DE"/>
    <w:rsid w:val="00332AE8"/>
    <w:rsid w:val="003426C0"/>
    <w:rsid w:val="003434B3"/>
    <w:rsid w:val="00344651"/>
    <w:rsid w:val="00346CD2"/>
    <w:rsid w:val="003476C1"/>
    <w:rsid w:val="00347CD8"/>
    <w:rsid w:val="00347FF4"/>
    <w:rsid w:val="003509A5"/>
    <w:rsid w:val="00350FFA"/>
    <w:rsid w:val="00351668"/>
    <w:rsid w:val="00352842"/>
    <w:rsid w:val="003614CB"/>
    <w:rsid w:val="00372656"/>
    <w:rsid w:val="00372A54"/>
    <w:rsid w:val="00373440"/>
    <w:rsid w:val="0037687B"/>
    <w:rsid w:val="00376AD7"/>
    <w:rsid w:val="00383712"/>
    <w:rsid w:val="00386FF1"/>
    <w:rsid w:val="0038766D"/>
    <w:rsid w:val="003926F8"/>
    <w:rsid w:val="00394BBF"/>
    <w:rsid w:val="003A38A3"/>
    <w:rsid w:val="003A569A"/>
    <w:rsid w:val="003A717E"/>
    <w:rsid w:val="003B0DCC"/>
    <w:rsid w:val="003B38F7"/>
    <w:rsid w:val="003B54FB"/>
    <w:rsid w:val="003C12D2"/>
    <w:rsid w:val="003C2C7D"/>
    <w:rsid w:val="003D4EA0"/>
    <w:rsid w:val="003D6E84"/>
    <w:rsid w:val="003D7F5B"/>
    <w:rsid w:val="003E793F"/>
    <w:rsid w:val="003F3589"/>
    <w:rsid w:val="003F507D"/>
    <w:rsid w:val="00400101"/>
    <w:rsid w:val="0041308E"/>
    <w:rsid w:val="004148C8"/>
    <w:rsid w:val="00422631"/>
    <w:rsid w:val="00424203"/>
    <w:rsid w:val="00427756"/>
    <w:rsid w:val="00431CFE"/>
    <w:rsid w:val="0043297F"/>
    <w:rsid w:val="004355BB"/>
    <w:rsid w:val="0043704B"/>
    <w:rsid w:val="00440DA9"/>
    <w:rsid w:val="004410B6"/>
    <w:rsid w:val="00445E96"/>
    <w:rsid w:val="00446511"/>
    <w:rsid w:val="00460734"/>
    <w:rsid w:val="00475E26"/>
    <w:rsid w:val="00482108"/>
    <w:rsid w:val="0048291E"/>
    <w:rsid w:val="004869B3"/>
    <w:rsid w:val="004870E4"/>
    <w:rsid w:val="00490569"/>
    <w:rsid w:val="00490FE9"/>
    <w:rsid w:val="00491E25"/>
    <w:rsid w:val="00491FE5"/>
    <w:rsid w:val="004933C6"/>
    <w:rsid w:val="00495454"/>
    <w:rsid w:val="004A26D5"/>
    <w:rsid w:val="004A3C69"/>
    <w:rsid w:val="004A44BC"/>
    <w:rsid w:val="004A4E50"/>
    <w:rsid w:val="004A65DF"/>
    <w:rsid w:val="004B79DB"/>
    <w:rsid w:val="004C188D"/>
    <w:rsid w:val="004C1DB8"/>
    <w:rsid w:val="004C4D0C"/>
    <w:rsid w:val="004E1AD9"/>
    <w:rsid w:val="004E37AF"/>
    <w:rsid w:val="004F4430"/>
    <w:rsid w:val="004F4C66"/>
    <w:rsid w:val="004F4C8D"/>
    <w:rsid w:val="004F61B4"/>
    <w:rsid w:val="004F7C0A"/>
    <w:rsid w:val="005056A3"/>
    <w:rsid w:val="005062A1"/>
    <w:rsid w:val="00510DCD"/>
    <w:rsid w:val="00510E99"/>
    <w:rsid w:val="00511468"/>
    <w:rsid w:val="00513A61"/>
    <w:rsid w:val="00516156"/>
    <w:rsid w:val="00530474"/>
    <w:rsid w:val="00562D4B"/>
    <w:rsid w:val="00566A99"/>
    <w:rsid w:val="00573906"/>
    <w:rsid w:val="00574FC6"/>
    <w:rsid w:val="00580458"/>
    <w:rsid w:val="00582E2D"/>
    <w:rsid w:val="005832E5"/>
    <w:rsid w:val="00583504"/>
    <w:rsid w:val="00593933"/>
    <w:rsid w:val="005975B1"/>
    <w:rsid w:val="00597E56"/>
    <w:rsid w:val="005A1B36"/>
    <w:rsid w:val="005A2CF0"/>
    <w:rsid w:val="005B336A"/>
    <w:rsid w:val="005B6908"/>
    <w:rsid w:val="005C3473"/>
    <w:rsid w:val="005C34C0"/>
    <w:rsid w:val="005C3E6C"/>
    <w:rsid w:val="005D4730"/>
    <w:rsid w:val="005D6D3C"/>
    <w:rsid w:val="005D72B7"/>
    <w:rsid w:val="005D7670"/>
    <w:rsid w:val="005E0443"/>
    <w:rsid w:val="005E0534"/>
    <w:rsid w:val="005E2234"/>
    <w:rsid w:val="005E7C1B"/>
    <w:rsid w:val="00600DE4"/>
    <w:rsid w:val="00601E8F"/>
    <w:rsid w:val="00604A3D"/>
    <w:rsid w:val="0061194B"/>
    <w:rsid w:val="006139C2"/>
    <w:rsid w:val="00615098"/>
    <w:rsid w:val="0061623D"/>
    <w:rsid w:val="00616608"/>
    <w:rsid w:val="00616F74"/>
    <w:rsid w:val="00620B1F"/>
    <w:rsid w:val="0062272D"/>
    <w:rsid w:val="00623FD8"/>
    <w:rsid w:val="006250B1"/>
    <w:rsid w:val="00625B15"/>
    <w:rsid w:val="006269BB"/>
    <w:rsid w:val="0063551D"/>
    <w:rsid w:val="00635E06"/>
    <w:rsid w:val="00637089"/>
    <w:rsid w:val="00643F32"/>
    <w:rsid w:val="006517EB"/>
    <w:rsid w:val="0065282D"/>
    <w:rsid w:val="006558DA"/>
    <w:rsid w:val="0065681C"/>
    <w:rsid w:val="00664CBD"/>
    <w:rsid w:val="00672992"/>
    <w:rsid w:val="00674B85"/>
    <w:rsid w:val="00677F78"/>
    <w:rsid w:val="0068646F"/>
    <w:rsid w:val="00693D82"/>
    <w:rsid w:val="006B328B"/>
    <w:rsid w:val="006B63C6"/>
    <w:rsid w:val="006B745B"/>
    <w:rsid w:val="006B7C30"/>
    <w:rsid w:val="006C7C4B"/>
    <w:rsid w:val="006C7C9E"/>
    <w:rsid w:val="006D04F9"/>
    <w:rsid w:val="006D324D"/>
    <w:rsid w:val="006D6414"/>
    <w:rsid w:val="006D6D42"/>
    <w:rsid w:val="006D75A8"/>
    <w:rsid w:val="006F09FB"/>
    <w:rsid w:val="006F0E0D"/>
    <w:rsid w:val="006F1B27"/>
    <w:rsid w:val="006F55FC"/>
    <w:rsid w:val="006F76C7"/>
    <w:rsid w:val="007210FA"/>
    <w:rsid w:val="007212F4"/>
    <w:rsid w:val="00740D91"/>
    <w:rsid w:val="00740F7D"/>
    <w:rsid w:val="0074632C"/>
    <w:rsid w:val="00751064"/>
    <w:rsid w:val="00751BA3"/>
    <w:rsid w:val="00757B27"/>
    <w:rsid w:val="007669C0"/>
    <w:rsid w:val="00767641"/>
    <w:rsid w:val="0077120A"/>
    <w:rsid w:val="00774ABA"/>
    <w:rsid w:val="00774B47"/>
    <w:rsid w:val="00775A09"/>
    <w:rsid w:val="007848D2"/>
    <w:rsid w:val="0079012D"/>
    <w:rsid w:val="007943D5"/>
    <w:rsid w:val="007A3A72"/>
    <w:rsid w:val="007A4FCC"/>
    <w:rsid w:val="007B4B32"/>
    <w:rsid w:val="007B6D25"/>
    <w:rsid w:val="007B74FA"/>
    <w:rsid w:val="007C3F77"/>
    <w:rsid w:val="007E12F2"/>
    <w:rsid w:val="007E3ED2"/>
    <w:rsid w:val="007E4C6A"/>
    <w:rsid w:val="007E4EF5"/>
    <w:rsid w:val="007F1AE1"/>
    <w:rsid w:val="007F342E"/>
    <w:rsid w:val="007F77DD"/>
    <w:rsid w:val="0080014D"/>
    <w:rsid w:val="00800D5F"/>
    <w:rsid w:val="008017E9"/>
    <w:rsid w:val="0080388A"/>
    <w:rsid w:val="00805457"/>
    <w:rsid w:val="0080732E"/>
    <w:rsid w:val="00810E6A"/>
    <w:rsid w:val="00811974"/>
    <w:rsid w:val="00812C30"/>
    <w:rsid w:val="00813929"/>
    <w:rsid w:val="0081472B"/>
    <w:rsid w:val="00815079"/>
    <w:rsid w:val="00815930"/>
    <w:rsid w:val="0081666B"/>
    <w:rsid w:val="00817C35"/>
    <w:rsid w:val="00823A6A"/>
    <w:rsid w:val="00824132"/>
    <w:rsid w:val="00841B08"/>
    <w:rsid w:val="00847EE2"/>
    <w:rsid w:val="008509CB"/>
    <w:rsid w:val="008516CD"/>
    <w:rsid w:val="00855971"/>
    <w:rsid w:val="008614B6"/>
    <w:rsid w:val="008643DF"/>
    <w:rsid w:val="00865256"/>
    <w:rsid w:val="00865E5B"/>
    <w:rsid w:val="00874A34"/>
    <w:rsid w:val="00876C87"/>
    <w:rsid w:val="008770E9"/>
    <w:rsid w:val="00883BE3"/>
    <w:rsid w:val="00884854"/>
    <w:rsid w:val="00885B92"/>
    <w:rsid w:val="008901E3"/>
    <w:rsid w:val="00890B04"/>
    <w:rsid w:val="00891350"/>
    <w:rsid w:val="00893C29"/>
    <w:rsid w:val="00894A8C"/>
    <w:rsid w:val="0089732D"/>
    <w:rsid w:val="008A05D4"/>
    <w:rsid w:val="008A41C5"/>
    <w:rsid w:val="008B242C"/>
    <w:rsid w:val="008B3571"/>
    <w:rsid w:val="008B4ADF"/>
    <w:rsid w:val="008C014B"/>
    <w:rsid w:val="008C29E5"/>
    <w:rsid w:val="008C3554"/>
    <w:rsid w:val="008C4BF7"/>
    <w:rsid w:val="008E400D"/>
    <w:rsid w:val="008E4A08"/>
    <w:rsid w:val="008E5D52"/>
    <w:rsid w:val="008E6756"/>
    <w:rsid w:val="008E67C4"/>
    <w:rsid w:val="008F64CF"/>
    <w:rsid w:val="008F7B31"/>
    <w:rsid w:val="009047DD"/>
    <w:rsid w:val="009105DD"/>
    <w:rsid w:val="00916546"/>
    <w:rsid w:val="00917AC4"/>
    <w:rsid w:val="00930820"/>
    <w:rsid w:val="00932D30"/>
    <w:rsid w:val="009417C8"/>
    <w:rsid w:val="00942DD3"/>
    <w:rsid w:val="00947218"/>
    <w:rsid w:val="009575AE"/>
    <w:rsid w:val="00962EC1"/>
    <w:rsid w:val="00965DA0"/>
    <w:rsid w:val="00972618"/>
    <w:rsid w:val="0097512E"/>
    <w:rsid w:val="00980AA3"/>
    <w:rsid w:val="00981401"/>
    <w:rsid w:val="009846E6"/>
    <w:rsid w:val="00993E4A"/>
    <w:rsid w:val="00996123"/>
    <w:rsid w:val="009B35EB"/>
    <w:rsid w:val="009B4842"/>
    <w:rsid w:val="009B671F"/>
    <w:rsid w:val="009C00A0"/>
    <w:rsid w:val="009C1CF8"/>
    <w:rsid w:val="009C3048"/>
    <w:rsid w:val="009C7886"/>
    <w:rsid w:val="009C790F"/>
    <w:rsid w:val="009D25C8"/>
    <w:rsid w:val="009D2756"/>
    <w:rsid w:val="009E7D14"/>
    <w:rsid w:val="009F181E"/>
    <w:rsid w:val="009F4767"/>
    <w:rsid w:val="009F6D0B"/>
    <w:rsid w:val="00A00044"/>
    <w:rsid w:val="00A00891"/>
    <w:rsid w:val="00A00A93"/>
    <w:rsid w:val="00A02105"/>
    <w:rsid w:val="00A16647"/>
    <w:rsid w:val="00A26DA8"/>
    <w:rsid w:val="00A3201E"/>
    <w:rsid w:val="00A32B40"/>
    <w:rsid w:val="00A3614D"/>
    <w:rsid w:val="00A420A2"/>
    <w:rsid w:val="00A5472F"/>
    <w:rsid w:val="00A55277"/>
    <w:rsid w:val="00A64498"/>
    <w:rsid w:val="00A67BB9"/>
    <w:rsid w:val="00A7037E"/>
    <w:rsid w:val="00A717FE"/>
    <w:rsid w:val="00A8129E"/>
    <w:rsid w:val="00A94D29"/>
    <w:rsid w:val="00A972C0"/>
    <w:rsid w:val="00A97BC0"/>
    <w:rsid w:val="00AA65B8"/>
    <w:rsid w:val="00AA6C6F"/>
    <w:rsid w:val="00AB4F88"/>
    <w:rsid w:val="00AD0BDD"/>
    <w:rsid w:val="00AD7E6F"/>
    <w:rsid w:val="00AE21CB"/>
    <w:rsid w:val="00AF5C4D"/>
    <w:rsid w:val="00B01429"/>
    <w:rsid w:val="00B07294"/>
    <w:rsid w:val="00B114F2"/>
    <w:rsid w:val="00B13319"/>
    <w:rsid w:val="00B2036D"/>
    <w:rsid w:val="00B2250F"/>
    <w:rsid w:val="00B2558E"/>
    <w:rsid w:val="00B30B80"/>
    <w:rsid w:val="00B3107F"/>
    <w:rsid w:val="00B32941"/>
    <w:rsid w:val="00B37CF7"/>
    <w:rsid w:val="00B41431"/>
    <w:rsid w:val="00B43D3F"/>
    <w:rsid w:val="00B45B9D"/>
    <w:rsid w:val="00B47BC0"/>
    <w:rsid w:val="00B50A38"/>
    <w:rsid w:val="00B60BC1"/>
    <w:rsid w:val="00B613AE"/>
    <w:rsid w:val="00B63FFB"/>
    <w:rsid w:val="00B65BDE"/>
    <w:rsid w:val="00B666BE"/>
    <w:rsid w:val="00B8322D"/>
    <w:rsid w:val="00B918B8"/>
    <w:rsid w:val="00B91B52"/>
    <w:rsid w:val="00B92633"/>
    <w:rsid w:val="00BA1FB6"/>
    <w:rsid w:val="00BB3A2D"/>
    <w:rsid w:val="00BB6C88"/>
    <w:rsid w:val="00BB73D6"/>
    <w:rsid w:val="00BC1ACE"/>
    <w:rsid w:val="00BC26F9"/>
    <w:rsid w:val="00BC54B9"/>
    <w:rsid w:val="00BC7451"/>
    <w:rsid w:val="00BD379F"/>
    <w:rsid w:val="00BD4021"/>
    <w:rsid w:val="00BD4E10"/>
    <w:rsid w:val="00BF27BD"/>
    <w:rsid w:val="00BF3229"/>
    <w:rsid w:val="00BF384C"/>
    <w:rsid w:val="00C04523"/>
    <w:rsid w:val="00C0767E"/>
    <w:rsid w:val="00C102C7"/>
    <w:rsid w:val="00C21B31"/>
    <w:rsid w:val="00C26B4F"/>
    <w:rsid w:val="00C327EE"/>
    <w:rsid w:val="00C33B88"/>
    <w:rsid w:val="00C37F7E"/>
    <w:rsid w:val="00C406B3"/>
    <w:rsid w:val="00C5114B"/>
    <w:rsid w:val="00C514BC"/>
    <w:rsid w:val="00C52898"/>
    <w:rsid w:val="00C531BA"/>
    <w:rsid w:val="00C61D8E"/>
    <w:rsid w:val="00C65016"/>
    <w:rsid w:val="00C6659C"/>
    <w:rsid w:val="00C6742F"/>
    <w:rsid w:val="00C74099"/>
    <w:rsid w:val="00C77021"/>
    <w:rsid w:val="00C82C6C"/>
    <w:rsid w:val="00C8471F"/>
    <w:rsid w:val="00C84D4A"/>
    <w:rsid w:val="00C86EED"/>
    <w:rsid w:val="00C8764F"/>
    <w:rsid w:val="00C90D18"/>
    <w:rsid w:val="00C910BC"/>
    <w:rsid w:val="00C911AE"/>
    <w:rsid w:val="00C91474"/>
    <w:rsid w:val="00C918C6"/>
    <w:rsid w:val="00C93923"/>
    <w:rsid w:val="00C97A92"/>
    <w:rsid w:val="00CC40A2"/>
    <w:rsid w:val="00CD12AC"/>
    <w:rsid w:val="00CD24E7"/>
    <w:rsid w:val="00CD360E"/>
    <w:rsid w:val="00CD52ED"/>
    <w:rsid w:val="00CE47E3"/>
    <w:rsid w:val="00CE67AF"/>
    <w:rsid w:val="00CE7311"/>
    <w:rsid w:val="00CF54CB"/>
    <w:rsid w:val="00D012A3"/>
    <w:rsid w:val="00D062A2"/>
    <w:rsid w:val="00D0747F"/>
    <w:rsid w:val="00D07718"/>
    <w:rsid w:val="00D12B64"/>
    <w:rsid w:val="00D15B36"/>
    <w:rsid w:val="00D205AA"/>
    <w:rsid w:val="00D23FA8"/>
    <w:rsid w:val="00D25578"/>
    <w:rsid w:val="00D25595"/>
    <w:rsid w:val="00D27ED9"/>
    <w:rsid w:val="00D301FC"/>
    <w:rsid w:val="00D3496D"/>
    <w:rsid w:val="00D37E34"/>
    <w:rsid w:val="00D415E3"/>
    <w:rsid w:val="00D41A75"/>
    <w:rsid w:val="00D41DD9"/>
    <w:rsid w:val="00D44E35"/>
    <w:rsid w:val="00D4724A"/>
    <w:rsid w:val="00D50121"/>
    <w:rsid w:val="00D55B56"/>
    <w:rsid w:val="00D55F61"/>
    <w:rsid w:val="00D62CF2"/>
    <w:rsid w:val="00D6360B"/>
    <w:rsid w:val="00D65F96"/>
    <w:rsid w:val="00D72E8C"/>
    <w:rsid w:val="00D74E87"/>
    <w:rsid w:val="00D76893"/>
    <w:rsid w:val="00D77078"/>
    <w:rsid w:val="00D92C1E"/>
    <w:rsid w:val="00DA3D01"/>
    <w:rsid w:val="00DA6460"/>
    <w:rsid w:val="00DC3A60"/>
    <w:rsid w:val="00DC429E"/>
    <w:rsid w:val="00DC6787"/>
    <w:rsid w:val="00DD12A8"/>
    <w:rsid w:val="00DE365D"/>
    <w:rsid w:val="00DE3871"/>
    <w:rsid w:val="00DE42EC"/>
    <w:rsid w:val="00DF633F"/>
    <w:rsid w:val="00DF6395"/>
    <w:rsid w:val="00E01222"/>
    <w:rsid w:val="00E10584"/>
    <w:rsid w:val="00E12E21"/>
    <w:rsid w:val="00E1494F"/>
    <w:rsid w:val="00E24105"/>
    <w:rsid w:val="00E42C16"/>
    <w:rsid w:val="00E459CC"/>
    <w:rsid w:val="00E52016"/>
    <w:rsid w:val="00E54378"/>
    <w:rsid w:val="00E5483F"/>
    <w:rsid w:val="00E573B3"/>
    <w:rsid w:val="00E660FC"/>
    <w:rsid w:val="00E66CD0"/>
    <w:rsid w:val="00E71D6E"/>
    <w:rsid w:val="00E8018E"/>
    <w:rsid w:val="00E86762"/>
    <w:rsid w:val="00E917BD"/>
    <w:rsid w:val="00E93D1D"/>
    <w:rsid w:val="00EA5EF3"/>
    <w:rsid w:val="00EA67A6"/>
    <w:rsid w:val="00EB3874"/>
    <w:rsid w:val="00EB4803"/>
    <w:rsid w:val="00EB7460"/>
    <w:rsid w:val="00EC1A94"/>
    <w:rsid w:val="00EC4DED"/>
    <w:rsid w:val="00ED09DC"/>
    <w:rsid w:val="00EE2EDD"/>
    <w:rsid w:val="00EE4E48"/>
    <w:rsid w:val="00EE73F7"/>
    <w:rsid w:val="00EE7823"/>
    <w:rsid w:val="00EE7B05"/>
    <w:rsid w:val="00EF14D6"/>
    <w:rsid w:val="00EF2F09"/>
    <w:rsid w:val="00EF68BC"/>
    <w:rsid w:val="00EF6BB1"/>
    <w:rsid w:val="00EF70D9"/>
    <w:rsid w:val="00F05778"/>
    <w:rsid w:val="00F063B3"/>
    <w:rsid w:val="00F10162"/>
    <w:rsid w:val="00F11F22"/>
    <w:rsid w:val="00F134C5"/>
    <w:rsid w:val="00F14594"/>
    <w:rsid w:val="00F14A39"/>
    <w:rsid w:val="00F15343"/>
    <w:rsid w:val="00F21469"/>
    <w:rsid w:val="00F22A3A"/>
    <w:rsid w:val="00F23326"/>
    <w:rsid w:val="00F36F8C"/>
    <w:rsid w:val="00F4382C"/>
    <w:rsid w:val="00F526A7"/>
    <w:rsid w:val="00F53EF3"/>
    <w:rsid w:val="00F64631"/>
    <w:rsid w:val="00F700C4"/>
    <w:rsid w:val="00F80CB4"/>
    <w:rsid w:val="00F810B2"/>
    <w:rsid w:val="00F834AF"/>
    <w:rsid w:val="00F8403F"/>
    <w:rsid w:val="00F84401"/>
    <w:rsid w:val="00F90084"/>
    <w:rsid w:val="00F93311"/>
    <w:rsid w:val="00F9376D"/>
    <w:rsid w:val="00F94DC5"/>
    <w:rsid w:val="00FA1598"/>
    <w:rsid w:val="00FA1AE1"/>
    <w:rsid w:val="00FA43AB"/>
    <w:rsid w:val="00FB259D"/>
    <w:rsid w:val="00FB7179"/>
    <w:rsid w:val="00FC10E2"/>
    <w:rsid w:val="00FC42DB"/>
    <w:rsid w:val="00FC5588"/>
    <w:rsid w:val="00FC7177"/>
    <w:rsid w:val="00FC7343"/>
    <w:rsid w:val="00FD3D5B"/>
    <w:rsid w:val="00FD4DDB"/>
    <w:rsid w:val="00FD54DB"/>
    <w:rsid w:val="00FD68F7"/>
    <w:rsid w:val="00FE0680"/>
    <w:rsid w:val="00FE096B"/>
    <w:rsid w:val="00FE2077"/>
    <w:rsid w:val="00FE3922"/>
    <w:rsid w:val="00FE44E0"/>
    <w:rsid w:val="00FE4C8C"/>
    <w:rsid w:val="00FF6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D90D8-FD81-452B-885A-083D9D0F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0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DCD"/>
    <w:pPr>
      <w:keepNext/>
      <w:spacing w:line="480" w:lineRule="auto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7756"/>
    <w:rPr>
      <w:rFonts w:ascii="Calibri" w:hAnsi="Calibri" w:cs="Times New Roman"/>
      <w:b/>
      <w:bCs/>
      <w:kern w:val="32"/>
      <w:sz w:val="32"/>
      <w:lang w:val="en-GB"/>
    </w:rPr>
  </w:style>
  <w:style w:type="table" w:customStyle="1" w:styleId="Thesisstyle">
    <w:name w:val="Thesis style"/>
    <w:uiPriority w:val="99"/>
    <w:rsid w:val="00482108"/>
    <w:rPr>
      <w:rFonts w:ascii="Times New Roman" w:hAnsi="Times New Roman"/>
      <w:sz w:val="24"/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C514B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14BC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rsid w:val="00E917BD"/>
    <w:rPr>
      <w:rFonts w:cs="Times New Roman"/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rsid w:val="00023D11"/>
    <w:rPr>
      <w:rFonts w:cs="Times New Roman"/>
    </w:rPr>
  </w:style>
  <w:style w:type="paragraph" w:customStyle="1" w:styleId="Default">
    <w:name w:val="Default"/>
    <w:uiPriority w:val="99"/>
    <w:rsid w:val="000619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customStyle="1" w:styleId="TableGridLight1">
    <w:name w:val="Table Grid Light1"/>
    <w:uiPriority w:val="99"/>
    <w:rsid w:val="0006192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3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42DD3"/>
    <w:pPr>
      <w:spacing w:line="48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A99"/>
    <w:rPr>
      <w:rFonts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F81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8CF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2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Cantalejo</dc:creator>
  <cp:keywords/>
  <cp:lastModifiedBy>Blanca Cantalejo</cp:lastModifiedBy>
  <cp:revision>3</cp:revision>
  <dcterms:created xsi:type="dcterms:W3CDTF">2019-10-20T14:37:00Z</dcterms:created>
  <dcterms:modified xsi:type="dcterms:W3CDTF">2019-10-20T14:38:00Z</dcterms:modified>
</cp:coreProperties>
</file>