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21" w:rsidRPr="00FD68D3" w:rsidRDefault="00D72B21" w:rsidP="00D72B21">
      <w:pPr>
        <w:spacing w:line="360" w:lineRule="auto"/>
        <w:jc w:val="center"/>
        <w:rPr>
          <w:rFonts w:cs="Times New Roman"/>
          <w:b/>
          <w:sz w:val="36"/>
          <w:szCs w:val="36"/>
        </w:rPr>
      </w:pPr>
      <w:r w:rsidRPr="00FD68D3">
        <w:rPr>
          <w:rFonts w:cs="Times New Roman"/>
          <w:b/>
          <w:sz w:val="36"/>
          <w:szCs w:val="36"/>
        </w:rPr>
        <w:t>SUPPORTING INFORMATION FOR</w:t>
      </w:r>
    </w:p>
    <w:p w:rsidR="00D72B21" w:rsidRPr="00FD68D3" w:rsidRDefault="00D72B21" w:rsidP="00D72B21">
      <w:pPr>
        <w:spacing w:line="360" w:lineRule="auto"/>
        <w:rPr>
          <w:rFonts w:cs="Times New Roman"/>
          <w:sz w:val="30"/>
          <w:szCs w:val="30"/>
        </w:rPr>
      </w:pPr>
      <w:r w:rsidRPr="00FD68D3">
        <w:rPr>
          <w:rFonts w:cs="Times New Roman"/>
          <w:sz w:val="30"/>
          <w:szCs w:val="30"/>
        </w:rPr>
        <w:t>The leaching characteristics of</w:t>
      </w:r>
      <w:r w:rsidR="004039F6" w:rsidRPr="00FD68D3">
        <w:rPr>
          <w:rFonts w:cs="Times New Roman"/>
          <w:sz w:val="30"/>
          <w:szCs w:val="30"/>
        </w:rPr>
        <w:t xml:space="preserve"> common toxic elements</w:t>
      </w:r>
      <w:r w:rsidRPr="00FD68D3">
        <w:rPr>
          <w:rFonts w:cs="Times New Roman"/>
          <w:sz w:val="30"/>
          <w:szCs w:val="30"/>
        </w:rPr>
        <w:t xml:space="preserve"> in phosphogypsum</w:t>
      </w:r>
    </w:p>
    <w:p w:rsidR="00D72B21" w:rsidRPr="00FD68D3" w:rsidRDefault="00D50A39" w:rsidP="00D50A39">
      <w:pPr>
        <w:spacing w:line="360" w:lineRule="auto"/>
        <w:jc w:val="left"/>
        <w:rPr>
          <w:rFonts w:cs="Times New Roman"/>
          <w:sz w:val="24"/>
          <w:szCs w:val="24"/>
        </w:rPr>
      </w:pPr>
      <w:r w:rsidRPr="00FD68D3">
        <w:rPr>
          <w:rFonts w:cs="Times New Roman"/>
          <w:sz w:val="24"/>
          <w:szCs w:val="24"/>
        </w:rPr>
        <w:t>Xin Peng</w:t>
      </w:r>
      <w:r w:rsidRPr="00FD68D3">
        <w:rPr>
          <w:rFonts w:cs="Times New Roman"/>
          <w:sz w:val="24"/>
          <w:szCs w:val="24"/>
          <w:vertAlign w:val="superscript"/>
        </w:rPr>
        <w:t>a</w:t>
      </w:r>
      <w:r w:rsidRPr="00FD68D3">
        <w:rPr>
          <w:rFonts w:cs="Times New Roman"/>
          <w:sz w:val="24"/>
          <w:szCs w:val="24"/>
        </w:rPr>
        <w:t>, Yinger Deng</w:t>
      </w:r>
      <w:r w:rsidRPr="00FD68D3">
        <w:rPr>
          <w:rFonts w:cs="Times New Roman"/>
          <w:sz w:val="24"/>
          <w:szCs w:val="24"/>
          <w:vertAlign w:val="superscript"/>
        </w:rPr>
        <w:t>a*</w:t>
      </w:r>
      <w:r w:rsidRPr="00FD68D3">
        <w:rPr>
          <w:rFonts w:cs="Times New Roman"/>
          <w:sz w:val="24"/>
          <w:szCs w:val="24"/>
        </w:rPr>
        <w:t>, Xiangda Zhang</w:t>
      </w:r>
      <w:r w:rsidRPr="00FD68D3">
        <w:rPr>
          <w:rFonts w:cs="Times New Roman"/>
          <w:sz w:val="24"/>
          <w:szCs w:val="24"/>
          <w:vertAlign w:val="superscript"/>
        </w:rPr>
        <w:t>a</w:t>
      </w:r>
      <w:r w:rsidRPr="00FD68D3">
        <w:rPr>
          <w:rFonts w:cs="Times New Roman"/>
          <w:sz w:val="24"/>
          <w:szCs w:val="24"/>
        </w:rPr>
        <w:t>,</w:t>
      </w:r>
      <w:r w:rsidR="00BD5C61" w:rsidRPr="00FD68D3">
        <w:rPr>
          <w:rFonts w:cs="Times New Roman"/>
          <w:sz w:val="24"/>
          <w:szCs w:val="24"/>
        </w:rPr>
        <w:t xml:space="preserve"> Lu Liu</w:t>
      </w:r>
      <w:r w:rsidR="00BD5C61" w:rsidRPr="00FD68D3">
        <w:rPr>
          <w:rFonts w:cs="Times New Roman"/>
          <w:sz w:val="24"/>
          <w:szCs w:val="24"/>
          <w:vertAlign w:val="superscript"/>
        </w:rPr>
        <w:t>b</w:t>
      </w:r>
      <w:r w:rsidR="00BD5C61" w:rsidRPr="00FD68D3">
        <w:rPr>
          <w:rFonts w:cs="Times New Roman"/>
          <w:sz w:val="24"/>
          <w:szCs w:val="24"/>
        </w:rPr>
        <w:t>,</w:t>
      </w:r>
      <w:r w:rsidRPr="00FD68D3">
        <w:rPr>
          <w:rFonts w:cs="Times New Roman"/>
          <w:sz w:val="24"/>
          <w:szCs w:val="24"/>
        </w:rPr>
        <w:t xml:space="preserve"> Jian Hu</w:t>
      </w:r>
      <w:r w:rsidRPr="00FD68D3">
        <w:rPr>
          <w:rFonts w:cs="Times New Roman"/>
          <w:sz w:val="24"/>
          <w:szCs w:val="24"/>
          <w:vertAlign w:val="superscript"/>
        </w:rPr>
        <w:t>a</w:t>
      </w:r>
      <w:r w:rsidR="00BD5C61" w:rsidRPr="00FD68D3">
        <w:rPr>
          <w:rFonts w:cs="Times New Roman"/>
          <w:sz w:val="24"/>
          <w:szCs w:val="24"/>
        </w:rPr>
        <w:t>,</w:t>
      </w:r>
      <w:r w:rsidRPr="00FD68D3">
        <w:t xml:space="preserve"> </w:t>
      </w:r>
      <w:r w:rsidRPr="00FD68D3">
        <w:rPr>
          <w:rFonts w:cs="Times New Roman"/>
          <w:sz w:val="24"/>
          <w:szCs w:val="24"/>
        </w:rPr>
        <w:t>Xianqian Duan</w:t>
      </w:r>
      <w:r w:rsidRPr="00FD68D3">
        <w:rPr>
          <w:rFonts w:cs="Times New Roman"/>
          <w:sz w:val="24"/>
          <w:szCs w:val="24"/>
          <w:vertAlign w:val="superscript"/>
        </w:rPr>
        <w:t>a</w:t>
      </w:r>
      <w:r w:rsidRPr="00FD68D3">
        <w:rPr>
          <w:rFonts w:cs="Times New Roman"/>
          <w:sz w:val="24"/>
          <w:szCs w:val="24"/>
        </w:rPr>
        <w:t>,</w:t>
      </w:r>
      <w:r w:rsidRPr="00FD68D3">
        <w:rPr>
          <w:rFonts w:cs="Times New Roman" w:hint="eastAsia"/>
          <w:sz w:val="24"/>
          <w:szCs w:val="24"/>
        </w:rPr>
        <w:t xml:space="preserve"> </w:t>
      </w:r>
      <w:r w:rsidRPr="00FD68D3">
        <w:rPr>
          <w:rFonts w:cs="Times New Roman"/>
          <w:sz w:val="24"/>
          <w:szCs w:val="24"/>
        </w:rPr>
        <w:t>Zhicheng Wei</w:t>
      </w:r>
      <w:r w:rsidRPr="00FD68D3">
        <w:rPr>
          <w:rFonts w:cs="Times New Roman"/>
          <w:sz w:val="24"/>
          <w:szCs w:val="24"/>
          <w:vertAlign w:val="superscript"/>
        </w:rPr>
        <w:t>a</w:t>
      </w:r>
      <w:r w:rsidRPr="00FD68D3">
        <w:rPr>
          <w:rFonts w:cs="Times New Roman"/>
          <w:sz w:val="24"/>
          <w:szCs w:val="24"/>
        </w:rPr>
        <w:t xml:space="preserve">, </w:t>
      </w:r>
      <w:r w:rsidRPr="00FD68D3">
        <w:rPr>
          <w:rFonts w:cs="Times New Roman" w:hint="eastAsia"/>
          <w:sz w:val="24"/>
          <w:szCs w:val="24"/>
        </w:rPr>
        <w:t>Qiuping</w:t>
      </w:r>
      <w:r w:rsidRPr="00FD68D3">
        <w:rPr>
          <w:rFonts w:cs="Times New Roman"/>
          <w:sz w:val="24"/>
          <w:szCs w:val="24"/>
        </w:rPr>
        <w:t xml:space="preserve"> Feng</w:t>
      </w:r>
      <w:r w:rsidRPr="00FD68D3">
        <w:rPr>
          <w:rFonts w:cs="Times New Roman"/>
          <w:sz w:val="24"/>
          <w:szCs w:val="24"/>
          <w:vertAlign w:val="superscript"/>
        </w:rPr>
        <w:t>b</w:t>
      </w:r>
      <w:r w:rsidRPr="00FD68D3">
        <w:rPr>
          <w:rFonts w:cs="Times New Roman"/>
          <w:sz w:val="24"/>
          <w:szCs w:val="24"/>
        </w:rPr>
        <w:t>, Ke Shen</w:t>
      </w:r>
      <w:r w:rsidRPr="00FD68D3">
        <w:rPr>
          <w:rFonts w:cs="Times New Roman"/>
          <w:sz w:val="24"/>
          <w:szCs w:val="24"/>
          <w:vertAlign w:val="superscript"/>
        </w:rPr>
        <w:t>b</w:t>
      </w:r>
      <w:r w:rsidR="00D72B21" w:rsidRPr="00FD68D3">
        <w:rPr>
          <w:rFonts w:cs="Times New Roman"/>
          <w:sz w:val="24"/>
          <w:szCs w:val="24"/>
        </w:rPr>
        <w:t>,</w:t>
      </w:r>
    </w:p>
    <w:p w:rsidR="00D72B21" w:rsidRPr="00FD68D3" w:rsidRDefault="00D72B21" w:rsidP="00D72B21">
      <w:pPr>
        <w:spacing w:line="360" w:lineRule="auto"/>
        <w:jc w:val="left"/>
        <w:rPr>
          <w:rFonts w:eastAsia="SimSun" w:cs="Times New Roman"/>
          <w:szCs w:val="22"/>
        </w:rPr>
      </w:pPr>
      <w:r w:rsidRPr="00FD68D3">
        <w:rPr>
          <w:rFonts w:eastAsia="SimSun" w:cs="Times New Roman"/>
          <w:szCs w:val="22"/>
        </w:rPr>
        <w:t>*Corresponding authors</w:t>
      </w:r>
    </w:p>
    <w:p w:rsidR="00D72B21" w:rsidRPr="00FD68D3" w:rsidRDefault="00D72B21" w:rsidP="00D72B21">
      <w:pPr>
        <w:rPr>
          <w:rFonts w:cs="Times New Roman"/>
          <w:sz w:val="30"/>
          <w:szCs w:val="30"/>
        </w:rPr>
      </w:pPr>
    </w:p>
    <w:p w:rsidR="00D50A39" w:rsidRPr="00FD68D3" w:rsidRDefault="00D50A39" w:rsidP="00D72B21">
      <w:pPr>
        <w:rPr>
          <w:rFonts w:cs="Times New Roman"/>
          <w:sz w:val="30"/>
          <w:szCs w:val="30"/>
        </w:rPr>
      </w:pPr>
    </w:p>
    <w:p w:rsidR="00D72B21" w:rsidRPr="00FD68D3" w:rsidRDefault="00D72B21" w:rsidP="00D72B21">
      <w:pPr>
        <w:jc w:val="center"/>
        <w:rPr>
          <w:rFonts w:cs="Times New Roman"/>
          <w:sz w:val="30"/>
          <w:szCs w:val="30"/>
        </w:rPr>
      </w:pPr>
      <w:r w:rsidRPr="00FD68D3">
        <w:rPr>
          <w:rFonts w:cs="Times New Roman"/>
          <w:noProof/>
          <w:sz w:val="30"/>
          <w:szCs w:val="30"/>
          <w:lang w:val="en-GB" w:eastAsia="en-GB"/>
        </w:rPr>
        <w:drawing>
          <wp:inline distT="0" distB="0" distL="0" distR="0" wp14:anchorId="3B5ECDD9" wp14:editId="3F0BD772">
            <wp:extent cx="5759450" cy="3149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成分图 黑白.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149600"/>
                    </a:xfrm>
                    <a:prstGeom prst="rect">
                      <a:avLst/>
                    </a:prstGeom>
                  </pic:spPr>
                </pic:pic>
              </a:graphicData>
            </a:graphic>
          </wp:inline>
        </w:drawing>
      </w:r>
    </w:p>
    <w:p w:rsidR="00D72B21" w:rsidRPr="00FD68D3" w:rsidRDefault="00D72B21" w:rsidP="00D72B21">
      <w:pPr>
        <w:spacing w:line="360" w:lineRule="auto"/>
        <w:rPr>
          <w:rFonts w:cs="Times New Roman"/>
          <w:sz w:val="24"/>
          <w:szCs w:val="24"/>
          <w:lang w:val="en-GB"/>
        </w:rPr>
      </w:pPr>
      <w:r w:rsidRPr="00FD68D3">
        <w:rPr>
          <w:rFonts w:cs="Times New Roman" w:hint="eastAsia"/>
          <w:sz w:val="24"/>
          <w:szCs w:val="24"/>
          <w:lang w:val="en-GB"/>
        </w:rPr>
        <w:t xml:space="preserve">Fig. S1 </w:t>
      </w:r>
      <w:r w:rsidRPr="00FD68D3">
        <w:rPr>
          <w:rFonts w:cs="Times New Roman"/>
          <w:sz w:val="24"/>
          <w:szCs w:val="24"/>
          <w:lang w:val="en-GB"/>
        </w:rPr>
        <w:t>Major chemical composition of the phosphogypsum used in this study and from other sources.</w:t>
      </w:r>
    </w:p>
    <w:p w:rsidR="00D72B21" w:rsidRPr="00FD68D3" w:rsidRDefault="00D72B21" w:rsidP="00D72B21">
      <w:pPr>
        <w:rPr>
          <w:rFonts w:cs="Times New Roman"/>
          <w:sz w:val="24"/>
          <w:szCs w:val="24"/>
          <w:lang w:val="en-GB"/>
        </w:rPr>
      </w:pPr>
    </w:p>
    <w:p w:rsidR="00D72B21" w:rsidRPr="00FD68D3" w:rsidRDefault="00D72B21" w:rsidP="00D72B21">
      <w:pPr>
        <w:rPr>
          <w:rFonts w:cs="Times New Roman"/>
          <w:sz w:val="24"/>
          <w:szCs w:val="24"/>
        </w:rPr>
      </w:pPr>
      <w:r w:rsidRPr="00FD68D3">
        <w:rPr>
          <w:rFonts w:cs="Times New Roman"/>
          <w:noProof/>
          <w:sz w:val="24"/>
          <w:szCs w:val="24"/>
          <w:lang w:val="en-GB" w:eastAsia="en-GB"/>
        </w:rPr>
        <w:lastRenderedPageBreak/>
        <w:drawing>
          <wp:inline distT="0" distB="0" distL="0" distR="0" wp14:anchorId="7F60C33A" wp14:editId="3E2E7A09">
            <wp:extent cx="5759450" cy="3149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重金属 黑白.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149600"/>
                    </a:xfrm>
                    <a:prstGeom prst="rect">
                      <a:avLst/>
                    </a:prstGeom>
                  </pic:spPr>
                </pic:pic>
              </a:graphicData>
            </a:graphic>
          </wp:inline>
        </w:drawing>
      </w:r>
    </w:p>
    <w:p w:rsidR="00D72B21" w:rsidRPr="00FD68D3" w:rsidRDefault="00D72B21" w:rsidP="00D72B21">
      <w:pPr>
        <w:spacing w:line="360" w:lineRule="auto"/>
        <w:rPr>
          <w:rFonts w:cs="Times New Roman"/>
          <w:sz w:val="24"/>
          <w:szCs w:val="24"/>
        </w:rPr>
      </w:pPr>
      <w:r w:rsidRPr="00FD68D3">
        <w:rPr>
          <w:rFonts w:cs="Times New Roman"/>
          <w:sz w:val="24"/>
          <w:szCs w:val="24"/>
        </w:rPr>
        <w:t>Fig. S2 Content of metals and As in phosphogypsum.</w:t>
      </w:r>
    </w:p>
    <w:p w:rsidR="00D72B21" w:rsidRPr="00FD68D3" w:rsidRDefault="00D72B21" w:rsidP="00D72B21">
      <w:pPr>
        <w:rPr>
          <w:rFonts w:cs="Times New Roman"/>
          <w:sz w:val="24"/>
          <w:szCs w:val="24"/>
        </w:rPr>
      </w:pPr>
    </w:p>
    <w:p w:rsidR="00D72B21" w:rsidRPr="00FD68D3" w:rsidRDefault="00D72B21" w:rsidP="00D72B21">
      <w:pPr>
        <w:spacing w:line="360" w:lineRule="auto"/>
        <w:jc w:val="center"/>
        <w:rPr>
          <w:rFonts w:cs="Times New Roman"/>
          <w:bCs/>
          <w:sz w:val="28"/>
          <w:szCs w:val="28"/>
        </w:rPr>
      </w:pPr>
      <w:r w:rsidRPr="00FD68D3">
        <w:rPr>
          <w:rFonts w:cs="Times New Roman"/>
          <w:bCs/>
          <w:sz w:val="28"/>
          <w:szCs w:val="28"/>
        </w:rPr>
        <w:t>REFERENCES</w:t>
      </w:r>
    </w:p>
    <w:p w:rsidR="00D72B21" w:rsidRPr="00FD68D3" w:rsidRDefault="00D72B21" w:rsidP="00D72B21">
      <w:pPr>
        <w:spacing w:line="360" w:lineRule="auto"/>
        <w:rPr>
          <w:rFonts w:cs="Times New Roman"/>
          <w:sz w:val="24"/>
          <w:szCs w:val="24"/>
        </w:rPr>
      </w:pPr>
      <w:r w:rsidRPr="00FD68D3">
        <w:rPr>
          <w:rFonts w:cs="Times New Roman"/>
          <w:sz w:val="24"/>
          <w:szCs w:val="24"/>
        </w:rPr>
        <w:t>Abed A. M., Sadaqah R., and Kuisi M. A.</w:t>
      </w:r>
      <w:r w:rsidR="00A44186" w:rsidRPr="00FD68D3">
        <w:rPr>
          <w:rFonts w:cs="Times New Roman"/>
          <w:sz w:val="24"/>
          <w:szCs w:val="24"/>
        </w:rPr>
        <w:t xml:space="preserve"> (2008)</w:t>
      </w:r>
      <w:r w:rsidRPr="00FD68D3">
        <w:rPr>
          <w:rFonts w:cs="Times New Roman"/>
          <w:sz w:val="24"/>
          <w:szCs w:val="24"/>
        </w:rPr>
        <w:t xml:space="preserve"> Uranium and potentially toxic metals during the mining, beneficiation, and processing of phosphorite and their effects on ground water in jordan. Mine Water Environ. </w:t>
      </w:r>
      <w:r w:rsidRPr="00FD68D3">
        <w:rPr>
          <w:rFonts w:cs="Times New Roman"/>
          <w:b/>
          <w:sz w:val="24"/>
          <w:szCs w:val="24"/>
        </w:rPr>
        <w:t>27</w:t>
      </w:r>
      <w:r w:rsidRPr="00FD68D3">
        <w:rPr>
          <w:rFonts w:cs="Times New Roman"/>
          <w:sz w:val="24"/>
          <w:szCs w:val="24"/>
        </w:rPr>
        <w:t>(3), 171-182.</w:t>
      </w:r>
    </w:p>
    <w:p w:rsidR="00744162" w:rsidRPr="00FD68D3" w:rsidRDefault="00744162" w:rsidP="00D72B21">
      <w:pPr>
        <w:spacing w:line="360" w:lineRule="auto"/>
        <w:rPr>
          <w:rFonts w:cs="Times New Roman"/>
          <w:sz w:val="24"/>
          <w:szCs w:val="24"/>
        </w:rPr>
      </w:pPr>
      <w:r w:rsidRPr="00FD68D3">
        <w:rPr>
          <w:rFonts w:cs="Times New Roman"/>
          <w:sz w:val="24"/>
          <w:szCs w:val="24"/>
        </w:rPr>
        <w:t xml:space="preserve">Da Conceicao F T, Bonotto D M. Radionuclides, heavy metals and fluorine incidence at Tapira phosphate rocks, Brazil, and their industrial (by) products[J]. Environmental Pollution, 2006, 139(2): 232-243. </w:t>
      </w:r>
    </w:p>
    <w:p w:rsidR="00D72B21" w:rsidRPr="00FD68D3" w:rsidRDefault="00D72B21" w:rsidP="00D72B21">
      <w:pPr>
        <w:spacing w:line="360" w:lineRule="auto"/>
        <w:rPr>
          <w:rFonts w:cs="Times New Roman"/>
          <w:sz w:val="24"/>
          <w:szCs w:val="24"/>
        </w:rPr>
      </w:pPr>
      <w:r w:rsidRPr="00FD68D3">
        <w:rPr>
          <w:rFonts w:cs="Times New Roman"/>
          <w:sz w:val="24"/>
          <w:szCs w:val="24"/>
        </w:rPr>
        <w:t>Cuadri A. A., Navarro F. J., García-Morales M., and Bolívar J.P.</w:t>
      </w:r>
      <w:r w:rsidR="00A44186" w:rsidRPr="00FD68D3">
        <w:rPr>
          <w:rFonts w:cs="Times New Roman"/>
          <w:sz w:val="24"/>
          <w:szCs w:val="24"/>
        </w:rPr>
        <w:t xml:space="preserve"> (2014)</w:t>
      </w:r>
      <w:r w:rsidRPr="00FD68D3">
        <w:rPr>
          <w:rFonts w:cs="Times New Roman"/>
          <w:sz w:val="24"/>
          <w:szCs w:val="24"/>
        </w:rPr>
        <w:t xml:space="preserve"> Valorization of phosphogypsum waste as asphaltic bitumen modifier. J. Hazard. Mater. </w:t>
      </w:r>
      <w:r w:rsidRPr="00FD68D3">
        <w:rPr>
          <w:rFonts w:cs="Times New Roman"/>
          <w:b/>
          <w:sz w:val="24"/>
          <w:szCs w:val="24"/>
        </w:rPr>
        <w:t>279</w:t>
      </w:r>
      <w:r w:rsidRPr="00FD68D3">
        <w:rPr>
          <w:rFonts w:cs="Times New Roman"/>
          <w:sz w:val="24"/>
          <w:szCs w:val="24"/>
        </w:rPr>
        <w:t>, 11-16.</w:t>
      </w:r>
    </w:p>
    <w:p w:rsidR="00D72B21" w:rsidRPr="00FD68D3" w:rsidRDefault="00D72B21" w:rsidP="00D72B21">
      <w:pPr>
        <w:spacing w:line="360" w:lineRule="auto"/>
        <w:rPr>
          <w:rFonts w:cs="Times New Roman"/>
          <w:sz w:val="24"/>
          <w:szCs w:val="24"/>
        </w:rPr>
      </w:pPr>
      <w:r w:rsidRPr="00FD68D3">
        <w:rPr>
          <w:rFonts w:cs="Times New Roman"/>
          <w:sz w:val="24"/>
          <w:szCs w:val="24"/>
        </w:rPr>
        <w:t>Degirmenci N., Okucu A., and Turabi A.</w:t>
      </w:r>
      <w:r w:rsidR="00A44186" w:rsidRPr="00FD68D3">
        <w:rPr>
          <w:rFonts w:cs="Times New Roman"/>
          <w:sz w:val="24"/>
          <w:szCs w:val="24"/>
        </w:rPr>
        <w:t xml:space="preserve"> (2007)</w:t>
      </w:r>
      <w:r w:rsidRPr="00FD68D3">
        <w:rPr>
          <w:rFonts w:cs="Times New Roman"/>
          <w:sz w:val="24"/>
          <w:szCs w:val="24"/>
        </w:rPr>
        <w:t xml:space="preserve"> Application of phosphogypsum in soil stabilization. Build. Environ. </w:t>
      </w:r>
      <w:r w:rsidRPr="00FD68D3">
        <w:rPr>
          <w:rFonts w:cs="Times New Roman"/>
          <w:b/>
          <w:sz w:val="24"/>
          <w:szCs w:val="24"/>
        </w:rPr>
        <w:t>42</w:t>
      </w:r>
      <w:r w:rsidRPr="00FD68D3">
        <w:rPr>
          <w:rFonts w:cs="Times New Roman"/>
          <w:sz w:val="24"/>
          <w:szCs w:val="24"/>
        </w:rPr>
        <w:t>(9), 3393-3398.</w:t>
      </w:r>
    </w:p>
    <w:p w:rsidR="00D72B21" w:rsidRPr="00FD68D3" w:rsidRDefault="00D72B21" w:rsidP="00D72B21">
      <w:pPr>
        <w:spacing w:line="360" w:lineRule="auto"/>
        <w:rPr>
          <w:rFonts w:cs="Times New Roman"/>
          <w:sz w:val="24"/>
          <w:szCs w:val="24"/>
        </w:rPr>
      </w:pPr>
      <w:r w:rsidRPr="00FD68D3">
        <w:rPr>
          <w:rFonts w:cs="Times New Roman"/>
          <w:sz w:val="24"/>
          <w:szCs w:val="24"/>
        </w:rPr>
        <w:t>Kacimi L., Simon-Masseron A., Ghomari A., and Derriche Z.</w:t>
      </w:r>
      <w:r w:rsidR="00A44186" w:rsidRPr="00FD68D3">
        <w:rPr>
          <w:rFonts w:cs="Times New Roman"/>
          <w:sz w:val="24"/>
          <w:szCs w:val="24"/>
        </w:rPr>
        <w:t xml:space="preserve"> (2006)</w:t>
      </w:r>
      <w:r w:rsidRPr="00FD68D3">
        <w:rPr>
          <w:rFonts w:cs="Times New Roman"/>
          <w:sz w:val="24"/>
          <w:szCs w:val="24"/>
        </w:rPr>
        <w:t xml:space="preserve"> Reduction of clinkerization temperature by using phosphogypsum. J. Hazard. Mater. </w:t>
      </w:r>
      <w:r w:rsidRPr="00FD68D3">
        <w:rPr>
          <w:rFonts w:cs="Times New Roman"/>
          <w:b/>
          <w:sz w:val="24"/>
          <w:szCs w:val="24"/>
        </w:rPr>
        <w:t>137</w:t>
      </w:r>
      <w:r w:rsidRPr="00FD68D3">
        <w:rPr>
          <w:rFonts w:cs="Times New Roman"/>
          <w:sz w:val="24"/>
          <w:szCs w:val="24"/>
        </w:rPr>
        <w:t>(1), 129-137.</w:t>
      </w:r>
    </w:p>
    <w:p w:rsidR="00D72B21" w:rsidRPr="00FD68D3" w:rsidRDefault="00D72B21" w:rsidP="00D72B21">
      <w:pPr>
        <w:spacing w:line="360" w:lineRule="auto"/>
        <w:rPr>
          <w:rFonts w:cs="Times New Roman"/>
          <w:sz w:val="24"/>
          <w:szCs w:val="24"/>
        </w:rPr>
      </w:pPr>
      <w:r w:rsidRPr="00FD68D3">
        <w:rPr>
          <w:rFonts w:cs="Times New Roman"/>
          <w:sz w:val="24"/>
          <w:szCs w:val="24"/>
        </w:rPr>
        <w:t>Górecki H., Chojnacka K., Dobrzański Z., Kołacz R., Górecka H., and Trziszka T.</w:t>
      </w:r>
      <w:r w:rsidR="00A44186" w:rsidRPr="00FD68D3">
        <w:rPr>
          <w:rFonts w:cs="Times New Roman"/>
          <w:sz w:val="24"/>
          <w:szCs w:val="24"/>
        </w:rPr>
        <w:t xml:space="preserve"> (2006)</w:t>
      </w:r>
      <w:r w:rsidRPr="00FD68D3">
        <w:rPr>
          <w:rFonts w:cs="Times New Roman"/>
          <w:sz w:val="24"/>
          <w:szCs w:val="24"/>
        </w:rPr>
        <w:t xml:space="preserve"> The effect of phosphogypsum as the mineral feed additive on fluorine content in eggs and tissues of laying hens. Anim. Feed Sci. Technol. </w:t>
      </w:r>
      <w:r w:rsidRPr="00FD68D3">
        <w:rPr>
          <w:rFonts w:cs="Times New Roman"/>
          <w:b/>
          <w:sz w:val="24"/>
          <w:szCs w:val="24"/>
        </w:rPr>
        <w:t>128</w:t>
      </w:r>
      <w:r w:rsidRPr="00FD68D3">
        <w:rPr>
          <w:rFonts w:cs="Times New Roman"/>
          <w:sz w:val="24"/>
          <w:szCs w:val="24"/>
        </w:rPr>
        <w:t>(1-2), 84-95.</w:t>
      </w:r>
    </w:p>
    <w:p w:rsidR="00D72B21" w:rsidRPr="00FD68D3" w:rsidRDefault="00D72B21" w:rsidP="00D72B21">
      <w:pPr>
        <w:spacing w:line="360" w:lineRule="auto"/>
        <w:rPr>
          <w:rFonts w:cs="Times New Roman"/>
          <w:sz w:val="24"/>
          <w:szCs w:val="24"/>
        </w:rPr>
      </w:pPr>
      <w:r w:rsidRPr="00FD68D3">
        <w:rPr>
          <w:rFonts w:cs="Times New Roman"/>
          <w:sz w:val="24"/>
          <w:szCs w:val="24"/>
        </w:rPr>
        <w:t>Hentati O., Abrantes N., Ana Luísa Caetano, Bouguerra S., and Pereira R.</w:t>
      </w:r>
      <w:r w:rsidR="00A44186" w:rsidRPr="00FD68D3">
        <w:rPr>
          <w:rFonts w:cs="Times New Roman"/>
          <w:sz w:val="24"/>
          <w:szCs w:val="24"/>
        </w:rPr>
        <w:t xml:space="preserve"> (2015)</w:t>
      </w:r>
      <w:r w:rsidRPr="00FD68D3">
        <w:rPr>
          <w:rFonts w:cs="Times New Roman"/>
          <w:sz w:val="24"/>
          <w:szCs w:val="24"/>
        </w:rPr>
        <w:t xml:space="preserve"> </w:t>
      </w:r>
      <w:r w:rsidRPr="00FD68D3">
        <w:rPr>
          <w:rFonts w:cs="Times New Roman"/>
          <w:sz w:val="24"/>
          <w:szCs w:val="24"/>
        </w:rPr>
        <w:lastRenderedPageBreak/>
        <w:t xml:space="preserve">Phosphogypsum as a soil fertilizer: ecotoxicity of amended soil and elutriates to bacteria, invertebrates, algae and plants. J. Hazard. Mater. </w:t>
      </w:r>
      <w:r w:rsidRPr="00FD68D3">
        <w:rPr>
          <w:rFonts w:cs="Times New Roman"/>
          <w:b/>
          <w:sz w:val="24"/>
          <w:szCs w:val="24"/>
        </w:rPr>
        <w:t>294</w:t>
      </w:r>
      <w:r w:rsidRPr="00FD68D3">
        <w:rPr>
          <w:rFonts w:cs="Times New Roman"/>
          <w:sz w:val="24"/>
          <w:szCs w:val="24"/>
        </w:rPr>
        <w:t>, 80-89.</w:t>
      </w:r>
    </w:p>
    <w:p w:rsidR="00D72B21" w:rsidRPr="00FD68D3" w:rsidRDefault="00D72B21" w:rsidP="00D72B21">
      <w:pPr>
        <w:spacing w:line="360" w:lineRule="auto"/>
        <w:rPr>
          <w:rFonts w:cs="Times New Roman"/>
          <w:sz w:val="24"/>
          <w:szCs w:val="24"/>
        </w:rPr>
      </w:pPr>
      <w:r w:rsidRPr="00FD68D3">
        <w:rPr>
          <w:rFonts w:cs="Times New Roman"/>
          <w:sz w:val="24"/>
          <w:szCs w:val="24"/>
        </w:rPr>
        <w:t>Luther S. M., Dudas M. J., and Rutherford P. M.</w:t>
      </w:r>
      <w:r w:rsidR="00A44186" w:rsidRPr="00FD68D3">
        <w:rPr>
          <w:rFonts w:cs="Times New Roman"/>
          <w:sz w:val="24"/>
          <w:szCs w:val="24"/>
        </w:rPr>
        <w:t xml:space="preserve"> (1993)</w:t>
      </w:r>
      <w:r w:rsidRPr="00FD68D3">
        <w:rPr>
          <w:rFonts w:cs="Times New Roman"/>
          <w:sz w:val="24"/>
          <w:szCs w:val="24"/>
        </w:rPr>
        <w:t xml:space="preserve"> Radioactivity and chemical characteristics of alberta phosphogypsum. Water Air Soil Pollut. </w:t>
      </w:r>
      <w:r w:rsidRPr="00FD68D3">
        <w:rPr>
          <w:rFonts w:cs="Times New Roman"/>
          <w:b/>
          <w:sz w:val="24"/>
          <w:szCs w:val="24"/>
        </w:rPr>
        <w:t>69</w:t>
      </w:r>
      <w:r w:rsidRPr="00FD68D3">
        <w:rPr>
          <w:rFonts w:cs="Times New Roman"/>
          <w:sz w:val="24"/>
          <w:szCs w:val="24"/>
        </w:rPr>
        <w:t>(3-4), 277-290.</w:t>
      </w:r>
    </w:p>
    <w:p w:rsidR="00D72B21" w:rsidRPr="00FD68D3" w:rsidRDefault="00D72B21" w:rsidP="00D72B21">
      <w:pPr>
        <w:spacing w:line="360" w:lineRule="auto"/>
        <w:rPr>
          <w:rFonts w:cs="Times New Roman"/>
          <w:sz w:val="24"/>
          <w:szCs w:val="24"/>
        </w:rPr>
      </w:pPr>
      <w:r w:rsidRPr="00FD68D3">
        <w:rPr>
          <w:rFonts w:cs="Times New Roman"/>
          <w:sz w:val="24"/>
          <w:szCs w:val="24"/>
        </w:rPr>
        <w:t xml:space="preserve">Marusia Rentería-Villalobos, Vioque I., Mantero J., and Guillermo Manjón. (2010) Radiological, chemical and morphological characterizations of phosphate rock and phosphogypsum from phosphoric acid factories in sw spain. J. Hazard. Mater. </w:t>
      </w:r>
      <w:r w:rsidRPr="00FD68D3">
        <w:rPr>
          <w:rFonts w:cs="Times New Roman"/>
          <w:b/>
          <w:sz w:val="24"/>
          <w:szCs w:val="24"/>
        </w:rPr>
        <w:t>181</w:t>
      </w:r>
      <w:r w:rsidRPr="00FD68D3">
        <w:rPr>
          <w:rFonts w:cs="Times New Roman"/>
          <w:sz w:val="24"/>
          <w:szCs w:val="24"/>
        </w:rPr>
        <w:t>(1-3), 193-203.</w:t>
      </w:r>
    </w:p>
    <w:p w:rsidR="00D72B21" w:rsidRPr="00FD68D3" w:rsidRDefault="00D72B21" w:rsidP="00D72B21">
      <w:pPr>
        <w:spacing w:line="360" w:lineRule="auto"/>
        <w:rPr>
          <w:rFonts w:cs="Times New Roman"/>
          <w:sz w:val="24"/>
          <w:szCs w:val="24"/>
        </w:rPr>
      </w:pPr>
      <w:r w:rsidRPr="00FD68D3">
        <w:rPr>
          <w:rFonts w:cs="Times New Roman"/>
          <w:sz w:val="24"/>
          <w:szCs w:val="24"/>
        </w:rPr>
        <w:t>May A. and Sweeney J. W.</w:t>
      </w:r>
      <w:r w:rsidR="00A44186" w:rsidRPr="00FD68D3">
        <w:rPr>
          <w:rFonts w:cs="Times New Roman"/>
          <w:sz w:val="24"/>
          <w:szCs w:val="24"/>
        </w:rPr>
        <w:t xml:space="preserve"> (1984)</w:t>
      </w:r>
      <w:r w:rsidRPr="00FD68D3">
        <w:rPr>
          <w:rFonts w:cs="Times New Roman"/>
          <w:sz w:val="24"/>
          <w:szCs w:val="24"/>
        </w:rPr>
        <w:t xml:space="preserve"> Assessment of environmental impacts associated with phosphogypsum in Florida. In </w:t>
      </w:r>
      <w:r w:rsidRPr="00FD68D3">
        <w:rPr>
          <w:rFonts w:cs="Times New Roman"/>
          <w:i/>
          <w:sz w:val="24"/>
          <w:szCs w:val="24"/>
        </w:rPr>
        <w:t>The Chemistry and Technology of Gypsum</w:t>
      </w:r>
      <w:r w:rsidRPr="00FD68D3">
        <w:rPr>
          <w:rFonts w:cs="Times New Roman"/>
          <w:sz w:val="24"/>
          <w:szCs w:val="24"/>
        </w:rPr>
        <w:t>. ASTM International.</w:t>
      </w:r>
    </w:p>
    <w:p w:rsidR="00D72B21" w:rsidRPr="00FD68D3" w:rsidRDefault="00D72B21" w:rsidP="00D72B21">
      <w:pPr>
        <w:spacing w:line="360" w:lineRule="auto"/>
        <w:rPr>
          <w:rFonts w:cs="Times New Roman"/>
          <w:sz w:val="24"/>
          <w:szCs w:val="24"/>
        </w:rPr>
      </w:pPr>
      <w:r w:rsidRPr="00FD68D3">
        <w:rPr>
          <w:rFonts w:cs="Times New Roman"/>
          <w:sz w:val="24"/>
          <w:szCs w:val="24"/>
        </w:rPr>
        <w:t>Shen W., Zhou M., and Zhao Q.</w:t>
      </w:r>
      <w:r w:rsidR="00A44186" w:rsidRPr="00FD68D3">
        <w:rPr>
          <w:rFonts w:cs="Times New Roman"/>
          <w:sz w:val="24"/>
          <w:szCs w:val="24"/>
        </w:rPr>
        <w:t xml:space="preserve"> (2007)</w:t>
      </w:r>
      <w:r w:rsidRPr="00FD68D3">
        <w:rPr>
          <w:rFonts w:cs="Times New Roman"/>
          <w:sz w:val="24"/>
          <w:szCs w:val="24"/>
        </w:rPr>
        <w:t xml:space="preserve"> Study on lime–fly ash–phosphogypsum binder. Constr. Build. Mater. </w:t>
      </w:r>
      <w:r w:rsidRPr="00FD68D3">
        <w:rPr>
          <w:rFonts w:cs="Times New Roman"/>
          <w:b/>
          <w:sz w:val="24"/>
          <w:szCs w:val="24"/>
        </w:rPr>
        <w:t>21</w:t>
      </w:r>
      <w:r w:rsidRPr="00FD68D3">
        <w:rPr>
          <w:rFonts w:cs="Times New Roman"/>
          <w:sz w:val="24"/>
          <w:szCs w:val="24"/>
        </w:rPr>
        <w:t>(7), 1480-1485.</w:t>
      </w:r>
    </w:p>
    <w:p w:rsidR="00D72B21" w:rsidRPr="00FD68D3" w:rsidRDefault="00D72B21" w:rsidP="00D72B21">
      <w:pPr>
        <w:spacing w:line="360" w:lineRule="auto"/>
        <w:rPr>
          <w:rFonts w:cs="Times New Roman"/>
          <w:sz w:val="24"/>
          <w:szCs w:val="24"/>
        </w:rPr>
      </w:pPr>
      <w:r w:rsidRPr="00FD68D3">
        <w:rPr>
          <w:rFonts w:cs="Times New Roman"/>
          <w:sz w:val="24"/>
          <w:szCs w:val="24"/>
        </w:rPr>
        <w:t>Singh M., and Garg M.</w:t>
      </w:r>
      <w:r w:rsidR="00A44186" w:rsidRPr="00FD68D3">
        <w:rPr>
          <w:rFonts w:cs="Times New Roman"/>
          <w:sz w:val="24"/>
          <w:szCs w:val="24"/>
        </w:rPr>
        <w:t xml:space="preserve"> (2005)</w:t>
      </w:r>
      <w:r w:rsidRPr="00FD68D3">
        <w:rPr>
          <w:rFonts w:cs="Times New Roman"/>
          <w:sz w:val="24"/>
          <w:szCs w:val="24"/>
        </w:rPr>
        <w:t xml:space="preserve"> Study on anhydrite plaster from waste phosphogypsum for use in polymerised flooring composition. Constr. Build. Mater. </w:t>
      </w:r>
      <w:r w:rsidRPr="00FD68D3">
        <w:rPr>
          <w:rFonts w:cs="Times New Roman"/>
          <w:b/>
          <w:sz w:val="24"/>
          <w:szCs w:val="24"/>
        </w:rPr>
        <w:t>19</w:t>
      </w:r>
      <w:r w:rsidRPr="00FD68D3">
        <w:rPr>
          <w:rFonts w:cs="Times New Roman"/>
          <w:sz w:val="24"/>
          <w:szCs w:val="24"/>
        </w:rPr>
        <w:t>(1), 25-29.</w:t>
      </w:r>
      <w:bookmarkStart w:id="0" w:name="_GoBack"/>
      <w:bookmarkEnd w:id="0"/>
    </w:p>
    <w:p w:rsidR="00D72B21" w:rsidRPr="00FD68D3" w:rsidRDefault="00D72B21" w:rsidP="00D72B21">
      <w:pPr>
        <w:spacing w:line="360" w:lineRule="auto"/>
        <w:rPr>
          <w:rFonts w:cs="Times New Roman"/>
          <w:sz w:val="24"/>
          <w:szCs w:val="24"/>
        </w:rPr>
      </w:pPr>
      <w:r w:rsidRPr="00FD68D3">
        <w:rPr>
          <w:rFonts w:cs="Times New Roman"/>
          <w:sz w:val="24"/>
          <w:szCs w:val="24"/>
        </w:rPr>
        <w:t>Taher M. A.</w:t>
      </w:r>
      <w:r w:rsidR="00A44186" w:rsidRPr="00FD68D3">
        <w:rPr>
          <w:rFonts w:cs="Times New Roman"/>
          <w:sz w:val="24"/>
          <w:szCs w:val="24"/>
        </w:rPr>
        <w:t xml:space="preserve"> (2007)</w:t>
      </w:r>
      <w:r w:rsidRPr="00FD68D3">
        <w:rPr>
          <w:rFonts w:cs="Times New Roman"/>
          <w:sz w:val="24"/>
          <w:szCs w:val="24"/>
        </w:rPr>
        <w:t xml:space="preserve"> Influence of thermally treated phosphogypsum on the properties of portland slag cement. Resour. Conserv. Recycl. </w:t>
      </w:r>
      <w:r w:rsidRPr="00FD68D3">
        <w:rPr>
          <w:rFonts w:cs="Times New Roman"/>
          <w:b/>
          <w:sz w:val="24"/>
          <w:szCs w:val="24"/>
        </w:rPr>
        <w:t>52</w:t>
      </w:r>
      <w:r w:rsidRPr="00FD68D3">
        <w:rPr>
          <w:rFonts w:cs="Times New Roman"/>
          <w:sz w:val="24"/>
          <w:szCs w:val="24"/>
        </w:rPr>
        <w:t>(1), 28-38.</w:t>
      </w:r>
    </w:p>
    <w:p w:rsidR="00D72B21" w:rsidRPr="00FD68D3" w:rsidRDefault="00D72B21" w:rsidP="00D72B21">
      <w:pPr>
        <w:spacing w:line="360" w:lineRule="auto"/>
        <w:rPr>
          <w:rFonts w:cs="Times New Roman"/>
          <w:sz w:val="24"/>
          <w:szCs w:val="24"/>
        </w:rPr>
      </w:pPr>
      <w:r w:rsidRPr="00FD68D3">
        <w:rPr>
          <w:rFonts w:cs="Times New Roman"/>
          <w:sz w:val="24"/>
          <w:szCs w:val="24"/>
        </w:rPr>
        <w:t>Yang J., Liu W., Zhang, L., and Xiao, B.</w:t>
      </w:r>
      <w:r w:rsidR="00A44186" w:rsidRPr="00FD68D3">
        <w:rPr>
          <w:rFonts w:cs="Times New Roman"/>
          <w:sz w:val="24"/>
          <w:szCs w:val="24"/>
        </w:rPr>
        <w:t xml:space="preserve"> (2009)</w:t>
      </w:r>
      <w:r w:rsidRPr="00FD68D3">
        <w:rPr>
          <w:rFonts w:cs="Times New Roman"/>
          <w:sz w:val="24"/>
          <w:szCs w:val="24"/>
        </w:rPr>
        <w:t xml:space="preserve"> Preparation of load-bearing building materials from autoclaved phosphogypsum. Constr. Build. Mater. </w:t>
      </w:r>
      <w:r w:rsidRPr="00FD68D3">
        <w:rPr>
          <w:rFonts w:cs="Times New Roman"/>
          <w:b/>
          <w:sz w:val="24"/>
          <w:szCs w:val="24"/>
        </w:rPr>
        <w:t>23</w:t>
      </w:r>
      <w:r w:rsidRPr="00FD68D3">
        <w:rPr>
          <w:rFonts w:cs="Times New Roman"/>
          <w:sz w:val="24"/>
          <w:szCs w:val="24"/>
        </w:rPr>
        <w:t>(2), 687-693.</w:t>
      </w:r>
    </w:p>
    <w:p w:rsidR="00D72B21" w:rsidRPr="00FD68D3" w:rsidRDefault="00D72B21" w:rsidP="00D72B21">
      <w:pPr>
        <w:spacing w:line="360" w:lineRule="auto"/>
        <w:rPr>
          <w:rFonts w:cs="Times New Roman"/>
          <w:sz w:val="24"/>
          <w:szCs w:val="24"/>
        </w:rPr>
      </w:pPr>
      <w:r w:rsidRPr="00FD68D3">
        <w:rPr>
          <w:rFonts w:cs="Times New Roman"/>
          <w:sz w:val="24"/>
          <w:szCs w:val="24"/>
        </w:rPr>
        <w:t>Yang X., Zhang Z., Wang X., Yang L., Zhong B., and Liu J. (2013).</w:t>
      </w:r>
      <w:r w:rsidR="00A44186" w:rsidRPr="00FD68D3">
        <w:rPr>
          <w:rFonts w:cs="Times New Roman"/>
          <w:sz w:val="24"/>
          <w:szCs w:val="24"/>
        </w:rPr>
        <w:t xml:space="preserve"> (2013)</w:t>
      </w:r>
      <w:r w:rsidRPr="00FD68D3">
        <w:rPr>
          <w:rFonts w:cs="Times New Roman"/>
          <w:sz w:val="24"/>
          <w:szCs w:val="24"/>
        </w:rPr>
        <w:t xml:space="preserve"> Thermodynamic study of phosphogypsum decomposition by sulfur. J. Chem. Thermodyn. </w:t>
      </w:r>
      <w:r w:rsidRPr="00FD68D3">
        <w:rPr>
          <w:rFonts w:cs="Times New Roman"/>
          <w:b/>
          <w:sz w:val="24"/>
          <w:szCs w:val="24"/>
        </w:rPr>
        <w:t>57</w:t>
      </w:r>
      <w:r w:rsidRPr="00FD68D3">
        <w:rPr>
          <w:rFonts w:cs="Times New Roman"/>
          <w:sz w:val="24"/>
          <w:szCs w:val="24"/>
        </w:rPr>
        <w:t>, 39-57.</w:t>
      </w:r>
    </w:p>
    <w:p w:rsidR="00D72B21" w:rsidRPr="00FD68D3" w:rsidRDefault="00D72B21" w:rsidP="00D72B21">
      <w:pPr>
        <w:spacing w:line="360" w:lineRule="auto"/>
        <w:rPr>
          <w:rFonts w:cs="Times New Roman"/>
          <w:sz w:val="24"/>
          <w:szCs w:val="24"/>
        </w:rPr>
      </w:pPr>
      <w:r w:rsidRPr="00FD68D3">
        <w:rPr>
          <w:rFonts w:cs="Times New Roman"/>
          <w:sz w:val="24"/>
          <w:szCs w:val="24"/>
        </w:rPr>
        <w:t>Wang M., Tang Y., Anderson C. W. N., Jeyakumar P., and Yang J.</w:t>
      </w:r>
      <w:r w:rsidR="00A44186" w:rsidRPr="00FD68D3">
        <w:rPr>
          <w:rFonts w:cs="Times New Roman"/>
          <w:sz w:val="24"/>
          <w:szCs w:val="24"/>
        </w:rPr>
        <w:t xml:space="preserve"> (2018)</w:t>
      </w:r>
      <w:r w:rsidRPr="00FD68D3">
        <w:rPr>
          <w:rFonts w:cs="Times New Roman"/>
          <w:sz w:val="24"/>
          <w:szCs w:val="24"/>
        </w:rPr>
        <w:t xml:space="preserve"> Effect of simulated acid rain on fluorine mobility and the bacterial community of phosphogypsum. Environ. Sci. Pollut. Res. </w:t>
      </w:r>
      <w:r w:rsidRPr="00FD68D3">
        <w:rPr>
          <w:rFonts w:cs="Times New Roman"/>
          <w:b/>
          <w:sz w:val="24"/>
          <w:szCs w:val="24"/>
        </w:rPr>
        <w:t>25</w:t>
      </w:r>
      <w:r w:rsidRPr="00FD68D3">
        <w:rPr>
          <w:rFonts w:cs="Times New Roman"/>
          <w:sz w:val="24"/>
          <w:szCs w:val="24"/>
        </w:rPr>
        <w:t>(2–3), 1-13.</w:t>
      </w:r>
    </w:p>
    <w:p w:rsidR="00D72B21" w:rsidRPr="00FD68D3" w:rsidRDefault="00D72B21" w:rsidP="00D72B21">
      <w:pPr>
        <w:spacing w:line="360" w:lineRule="auto"/>
        <w:rPr>
          <w:rFonts w:cs="Times New Roman"/>
          <w:sz w:val="24"/>
          <w:szCs w:val="24"/>
        </w:rPr>
      </w:pPr>
      <w:r w:rsidRPr="00FD68D3">
        <w:rPr>
          <w:rFonts w:cs="Times New Roman"/>
          <w:sz w:val="24"/>
          <w:szCs w:val="24"/>
        </w:rPr>
        <w:t>Zheng S., Ning P., Ma L., Niu X., Zhang W., and Chen Y.</w:t>
      </w:r>
      <w:r w:rsidR="00A44186" w:rsidRPr="00FD68D3">
        <w:rPr>
          <w:rFonts w:cs="Times New Roman"/>
          <w:sz w:val="24"/>
          <w:szCs w:val="24"/>
        </w:rPr>
        <w:t xml:space="preserve"> (2011)</w:t>
      </w:r>
      <w:r w:rsidRPr="00FD68D3">
        <w:rPr>
          <w:rFonts w:cs="Times New Roman"/>
          <w:sz w:val="24"/>
          <w:szCs w:val="24"/>
        </w:rPr>
        <w:t xml:space="preserve"> Reductive decomposition of phosphogypsum with high-sulfur-concentration coal to so2 in an inert atmosphere. Chem. Eng. Res. Des. </w:t>
      </w:r>
      <w:r w:rsidRPr="00FD68D3">
        <w:rPr>
          <w:rFonts w:cs="Times New Roman"/>
          <w:b/>
          <w:sz w:val="24"/>
          <w:szCs w:val="24"/>
        </w:rPr>
        <w:t>89</w:t>
      </w:r>
      <w:r w:rsidRPr="00FD68D3">
        <w:rPr>
          <w:rFonts w:cs="Times New Roman"/>
          <w:sz w:val="24"/>
          <w:szCs w:val="24"/>
        </w:rPr>
        <w:t>(12), 2736-2741.</w:t>
      </w:r>
    </w:p>
    <w:p w:rsidR="00D72B21" w:rsidRPr="00FD68D3" w:rsidRDefault="00D72B21" w:rsidP="00D72B21">
      <w:pPr>
        <w:rPr>
          <w:rFonts w:cs="Times New Roman"/>
          <w:sz w:val="24"/>
          <w:szCs w:val="24"/>
        </w:rPr>
      </w:pPr>
    </w:p>
    <w:p w:rsidR="00D72B21" w:rsidRPr="00FD68D3" w:rsidRDefault="00D72B21" w:rsidP="00D72B21">
      <w:pPr>
        <w:rPr>
          <w:rFonts w:cs="Times New Roman"/>
          <w:sz w:val="24"/>
          <w:szCs w:val="24"/>
        </w:rPr>
      </w:pPr>
    </w:p>
    <w:p w:rsidR="00D72B21" w:rsidRPr="00FD68D3" w:rsidRDefault="00D72B21" w:rsidP="00D72B21">
      <w:pPr>
        <w:rPr>
          <w:rFonts w:cs="Times New Roman"/>
          <w:sz w:val="24"/>
          <w:szCs w:val="24"/>
        </w:rPr>
      </w:pPr>
    </w:p>
    <w:p w:rsidR="00F136A9" w:rsidRPr="00FD68D3" w:rsidRDefault="00F136A9">
      <w:pPr>
        <w:sectPr w:rsidR="00F136A9" w:rsidRPr="00FD68D3" w:rsidSect="00FD68D3">
          <w:footerReference w:type="default" r:id="rId9"/>
          <w:type w:val="continuous"/>
          <w:pgSz w:w="11906" w:h="16838"/>
          <w:pgMar w:top="1440" w:right="1418" w:bottom="1440" w:left="1418" w:header="851" w:footer="992" w:gutter="0"/>
          <w:cols w:space="425"/>
          <w:docGrid w:type="lines" w:linePitch="312"/>
        </w:sectPr>
      </w:pPr>
    </w:p>
    <w:p w:rsidR="00F136A9" w:rsidRPr="00FD68D3" w:rsidRDefault="00633C20" w:rsidP="00F136A9">
      <w:pPr>
        <w:spacing w:line="360" w:lineRule="auto"/>
        <w:rPr>
          <w:rFonts w:cs="Times New Roman"/>
          <w:sz w:val="24"/>
          <w:szCs w:val="24"/>
        </w:rPr>
      </w:pPr>
      <w:r w:rsidRPr="00FD68D3">
        <w:rPr>
          <w:rFonts w:cs="Times New Roman"/>
          <w:sz w:val="24"/>
          <w:szCs w:val="24"/>
        </w:rPr>
        <w:lastRenderedPageBreak/>
        <w:t>Table S1 Pairwise Wilcoxon test results of the differences in the responses of leachate pH and Ec and soluble P, fluoride, Zn, Pb, As, and Hg extraction concentrations to the effect of the liquid/solid ratio, temperature, oscillation strength, particle size and pH.</w:t>
      </w:r>
    </w:p>
    <w:tbl>
      <w:tblPr>
        <w:tblStyle w:val="TableGrid"/>
        <w:tblW w:w="0" w:type="auto"/>
        <w:tblLook w:val="04A0" w:firstRow="1" w:lastRow="0" w:firstColumn="1" w:lastColumn="0" w:noHBand="0" w:noVBand="1"/>
      </w:tblPr>
      <w:tblGrid>
        <w:gridCol w:w="1487"/>
        <w:gridCol w:w="1348"/>
        <w:gridCol w:w="1382"/>
        <w:gridCol w:w="1377"/>
        <w:gridCol w:w="1434"/>
        <w:gridCol w:w="1443"/>
        <w:gridCol w:w="1380"/>
        <w:gridCol w:w="1378"/>
        <w:gridCol w:w="1380"/>
        <w:gridCol w:w="1383"/>
      </w:tblGrid>
      <w:tr w:rsidR="00FD68D3" w:rsidRPr="00FD68D3" w:rsidTr="005E086D">
        <w:trPr>
          <w:trHeight w:val="402"/>
        </w:trPr>
        <w:tc>
          <w:tcPr>
            <w:tcW w:w="1487" w:type="dxa"/>
            <w:vMerge w:val="restart"/>
            <w:tcBorders>
              <w:top w:val="single" w:sz="12" w:space="0" w:color="auto"/>
              <w:left w:val="nil"/>
              <w:bottom w:val="nil"/>
              <w:right w:val="nil"/>
              <w:tl2br w:val="nil"/>
            </w:tcBorders>
            <w:vAlign w:val="center"/>
          </w:tcPr>
          <w:p w:rsidR="00F136A9" w:rsidRPr="00FD68D3" w:rsidRDefault="00F136A9" w:rsidP="005E086D">
            <w:pPr>
              <w:jc w:val="center"/>
              <w:rPr>
                <w:rFonts w:cs="Times New Roman"/>
                <w:sz w:val="18"/>
                <w:szCs w:val="18"/>
              </w:rPr>
            </w:pPr>
            <w:r w:rsidRPr="00FD68D3">
              <w:rPr>
                <w:rFonts w:cs="Times New Roman"/>
                <w:sz w:val="18"/>
                <w:szCs w:val="18"/>
              </w:rPr>
              <w:t>Batch test</w:t>
            </w:r>
          </w:p>
        </w:tc>
        <w:tc>
          <w:tcPr>
            <w:tcW w:w="1348" w:type="dxa"/>
            <w:vMerge w:val="restart"/>
            <w:tcBorders>
              <w:top w:val="single" w:sz="12" w:space="0" w:color="auto"/>
              <w:left w:val="nil"/>
              <w:bottom w:val="nil"/>
              <w:right w:val="nil"/>
              <w:tl2br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subgro</w:t>
            </w:r>
            <w:r w:rsidRPr="00FD68D3">
              <w:rPr>
                <w:rFonts w:cs="Times New Roman"/>
                <w:sz w:val="18"/>
                <w:szCs w:val="18"/>
              </w:rPr>
              <w:t>up</w:t>
            </w:r>
          </w:p>
        </w:tc>
        <w:tc>
          <w:tcPr>
            <w:tcW w:w="1382"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pH</w:t>
            </w:r>
          </w:p>
        </w:tc>
        <w:tc>
          <w:tcPr>
            <w:tcW w:w="1377"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Ec</w:t>
            </w:r>
          </w:p>
        </w:tc>
        <w:tc>
          <w:tcPr>
            <w:tcW w:w="1434"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S</w:t>
            </w:r>
            <w:r w:rsidRPr="00FD68D3">
              <w:rPr>
                <w:rFonts w:cs="Times New Roman"/>
                <w:sz w:val="18"/>
                <w:szCs w:val="18"/>
              </w:rPr>
              <w:t>oluble P</w:t>
            </w:r>
          </w:p>
        </w:tc>
        <w:tc>
          <w:tcPr>
            <w:tcW w:w="1443"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sz w:val="18"/>
                <w:szCs w:val="18"/>
              </w:rPr>
              <w:t>Fluoride</w:t>
            </w:r>
          </w:p>
        </w:tc>
        <w:tc>
          <w:tcPr>
            <w:tcW w:w="1380"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Zn</w:t>
            </w:r>
          </w:p>
        </w:tc>
        <w:tc>
          <w:tcPr>
            <w:tcW w:w="1378"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Pb</w:t>
            </w:r>
          </w:p>
        </w:tc>
        <w:tc>
          <w:tcPr>
            <w:tcW w:w="1380"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As</w:t>
            </w:r>
          </w:p>
        </w:tc>
        <w:tc>
          <w:tcPr>
            <w:tcW w:w="1383" w:type="dxa"/>
            <w:tcBorders>
              <w:top w:val="single" w:sz="12" w:space="0" w:color="auto"/>
              <w:left w:val="nil"/>
              <w:bottom w:val="single" w:sz="4"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Hg</w:t>
            </w:r>
          </w:p>
        </w:tc>
      </w:tr>
      <w:tr w:rsidR="00FD68D3" w:rsidRPr="00FD68D3" w:rsidTr="005E086D">
        <w:trPr>
          <w:trHeight w:val="223"/>
        </w:trPr>
        <w:tc>
          <w:tcPr>
            <w:tcW w:w="1487" w:type="dxa"/>
            <w:vMerge/>
            <w:tcBorders>
              <w:top w:val="nil"/>
              <w:left w:val="nil"/>
              <w:bottom w:val="single" w:sz="12" w:space="0" w:color="auto"/>
              <w:right w:val="nil"/>
              <w:tl2br w:val="nil"/>
            </w:tcBorders>
            <w:vAlign w:val="center"/>
          </w:tcPr>
          <w:p w:rsidR="00F136A9" w:rsidRPr="00FD68D3" w:rsidRDefault="00F136A9" w:rsidP="005E086D">
            <w:pPr>
              <w:jc w:val="center"/>
              <w:rPr>
                <w:rFonts w:cs="Times New Roman"/>
                <w:sz w:val="18"/>
                <w:szCs w:val="18"/>
              </w:rPr>
            </w:pPr>
          </w:p>
        </w:tc>
        <w:tc>
          <w:tcPr>
            <w:tcW w:w="1348" w:type="dxa"/>
            <w:vMerge/>
            <w:tcBorders>
              <w:top w:val="nil"/>
              <w:left w:val="nil"/>
              <w:bottom w:val="single" w:sz="12" w:space="0" w:color="auto"/>
              <w:right w:val="nil"/>
              <w:tl2br w:val="nil"/>
            </w:tcBorders>
            <w:vAlign w:val="center"/>
          </w:tcPr>
          <w:p w:rsidR="00F136A9" w:rsidRPr="00FD68D3" w:rsidRDefault="00F136A9" w:rsidP="005E086D">
            <w:pPr>
              <w:ind w:firstLineChars="350" w:firstLine="630"/>
              <w:rPr>
                <w:rFonts w:cs="Times New Roman"/>
                <w:sz w:val="18"/>
                <w:szCs w:val="18"/>
              </w:rPr>
            </w:pPr>
          </w:p>
        </w:tc>
        <w:tc>
          <w:tcPr>
            <w:tcW w:w="1382"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377"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434"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443"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380"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378"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380"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c>
          <w:tcPr>
            <w:tcW w:w="1383" w:type="dxa"/>
            <w:tcBorders>
              <w:top w:val="single" w:sz="4" w:space="0" w:color="auto"/>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p</w:t>
            </w:r>
          </w:p>
        </w:tc>
      </w:tr>
      <w:tr w:rsidR="00FD68D3" w:rsidRPr="00FD68D3" w:rsidTr="005E086D">
        <w:trPr>
          <w:trHeight w:val="156"/>
        </w:trPr>
        <w:tc>
          <w:tcPr>
            <w:tcW w:w="1487" w:type="dxa"/>
            <w:vMerge w:val="restart"/>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L/S ratio</w:t>
            </w:r>
          </w:p>
        </w:tc>
        <w:tc>
          <w:tcPr>
            <w:tcW w:w="1348" w:type="dxa"/>
            <w:tcBorders>
              <w:top w:val="single" w:sz="12" w:space="0" w:color="auto"/>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5:1 vs 10:1</w:t>
            </w:r>
          </w:p>
        </w:tc>
        <w:tc>
          <w:tcPr>
            <w:tcW w:w="1382"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single" w:sz="12" w:space="0" w:color="auto"/>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145"/>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 xml:space="preserve">5:1 </w:t>
            </w:r>
            <w:r w:rsidRPr="00FD68D3">
              <w:rPr>
                <w:rFonts w:cs="Times New Roman"/>
                <w:sz w:val="18"/>
                <w:szCs w:val="18"/>
              </w:rPr>
              <w:t>vs</w:t>
            </w:r>
            <w:r w:rsidRPr="00FD68D3">
              <w:rPr>
                <w:rFonts w:cs="Times New Roman" w:hint="eastAsia"/>
                <w:sz w:val="18"/>
                <w:szCs w:val="18"/>
              </w:rPr>
              <w:t xml:space="preserve"> 20:1</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212"/>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 xml:space="preserve">10:1 </w:t>
            </w:r>
            <w:r w:rsidRPr="00FD68D3">
              <w:rPr>
                <w:rFonts w:cs="Times New Roman"/>
                <w:sz w:val="18"/>
                <w:szCs w:val="18"/>
              </w:rPr>
              <w:t>vs</w:t>
            </w:r>
            <w:r w:rsidRPr="00FD68D3">
              <w:rPr>
                <w:rFonts w:cs="Times New Roman" w:hint="eastAsia"/>
                <w:sz w:val="18"/>
                <w:szCs w:val="18"/>
              </w:rPr>
              <w:t xml:space="preserve"> </w:t>
            </w:r>
            <w:r w:rsidRPr="00FD68D3">
              <w:rPr>
                <w:rFonts w:cs="Times New Roman"/>
                <w:sz w:val="18"/>
                <w:szCs w:val="18"/>
              </w:rPr>
              <w:t>20:1</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156"/>
        </w:trPr>
        <w:tc>
          <w:tcPr>
            <w:tcW w:w="1487" w:type="dxa"/>
            <w:vMerge w:val="restart"/>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Temperature</w:t>
            </w: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25</w:t>
            </w:r>
            <w:r w:rsidRPr="00FD68D3">
              <w:rPr>
                <w:rFonts w:cs="Times New Roman" w:hint="eastAsia"/>
                <w:sz w:val="18"/>
                <w:szCs w:val="18"/>
              </w:rPr>
              <w:t>°</w:t>
            </w:r>
            <w:r w:rsidRPr="00FD68D3">
              <w:rPr>
                <w:rFonts w:cs="Times New Roman"/>
                <w:sz w:val="18"/>
                <w:szCs w:val="18"/>
              </w:rPr>
              <w:t>C vs 35°C</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145"/>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sz w:val="18"/>
                <w:szCs w:val="18"/>
              </w:rPr>
              <w:t>35°C vs 45°C</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r>
      <w:tr w:rsidR="00FD68D3" w:rsidRPr="00FD68D3" w:rsidTr="005E086D">
        <w:trPr>
          <w:trHeight w:val="167"/>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sz w:val="18"/>
                <w:szCs w:val="18"/>
              </w:rPr>
              <w:t>25°C vs 45°C</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r>
      <w:tr w:rsidR="00FD68D3" w:rsidRPr="00FD68D3" w:rsidTr="005E086D">
        <w:trPr>
          <w:trHeight w:val="223"/>
        </w:trPr>
        <w:tc>
          <w:tcPr>
            <w:tcW w:w="1487" w:type="dxa"/>
            <w:vMerge w:val="restart"/>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sz w:val="18"/>
                <w:szCs w:val="18"/>
              </w:rPr>
              <w:t>oscillating strength</w:t>
            </w: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0 vs 30 r</w:t>
            </w:r>
            <w:r w:rsidRPr="00FD68D3">
              <w:rPr>
                <w:rFonts w:cs="Times New Roman"/>
                <w:sz w:val="18"/>
                <w:szCs w:val="18"/>
              </w:rPr>
              <w:t>pm</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201"/>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30 vs 60 rpm</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r>
      <w:tr w:rsidR="00FD68D3" w:rsidRPr="00FD68D3" w:rsidTr="005E086D">
        <w:trPr>
          <w:trHeight w:val="190"/>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 xml:space="preserve">0 </w:t>
            </w:r>
            <w:r w:rsidRPr="00FD68D3">
              <w:rPr>
                <w:rFonts w:cs="Times New Roman"/>
                <w:sz w:val="18"/>
                <w:szCs w:val="18"/>
              </w:rPr>
              <w:t>vs 60 rpm</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r>
      <w:tr w:rsidR="00FD68D3" w:rsidRPr="00FD68D3" w:rsidTr="005E086D">
        <w:trPr>
          <w:trHeight w:val="156"/>
        </w:trPr>
        <w:tc>
          <w:tcPr>
            <w:tcW w:w="1487" w:type="dxa"/>
            <w:vMerge w:val="restart"/>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sz w:val="18"/>
                <w:szCs w:val="18"/>
              </w:rPr>
              <w:t>partical size</w:t>
            </w: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sz w:val="18"/>
                <w:szCs w:val="18"/>
              </w:rPr>
              <w:t>A</w:t>
            </w:r>
            <w:r w:rsidRPr="00FD68D3">
              <w:rPr>
                <w:rFonts w:cs="Times New Roman" w:hint="eastAsia"/>
                <w:sz w:val="18"/>
                <w:szCs w:val="18"/>
              </w:rPr>
              <w:t xml:space="preserve"> </w:t>
            </w:r>
            <w:r w:rsidRPr="00FD68D3">
              <w:rPr>
                <w:rFonts w:cs="Times New Roman"/>
                <w:sz w:val="18"/>
                <w:szCs w:val="18"/>
              </w:rPr>
              <w:t>vs B</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145"/>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sz w:val="18"/>
                <w:szCs w:val="18"/>
              </w:rPr>
              <w:t>B vs C</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223"/>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tcPr>
          <w:p w:rsidR="00F136A9" w:rsidRPr="00FD68D3" w:rsidRDefault="00F136A9" w:rsidP="005E086D">
            <w:pPr>
              <w:jc w:val="center"/>
              <w:rPr>
                <w:rFonts w:cs="Times New Roman"/>
                <w:sz w:val="18"/>
                <w:szCs w:val="18"/>
              </w:rPr>
            </w:pPr>
            <w:r w:rsidRPr="00FD68D3">
              <w:rPr>
                <w:rFonts w:cs="Times New Roman" w:hint="eastAsia"/>
                <w:sz w:val="18"/>
                <w:szCs w:val="18"/>
              </w:rPr>
              <w:t xml:space="preserve">A vs </w:t>
            </w:r>
            <w:r w:rsidRPr="00FD68D3">
              <w:rPr>
                <w:rFonts w:cs="Times New Roman"/>
                <w:sz w:val="18"/>
                <w:szCs w:val="18"/>
              </w:rPr>
              <w:t>C</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168"/>
        </w:trPr>
        <w:tc>
          <w:tcPr>
            <w:tcW w:w="1487" w:type="dxa"/>
            <w:vMerge w:val="restart"/>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sz w:val="18"/>
                <w:szCs w:val="18"/>
              </w:rPr>
              <w:t>pH test</w:t>
            </w:r>
          </w:p>
        </w:tc>
        <w:tc>
          <w:tcPr>
            <w:tcW w:w="1348" w:type="dxa"/>
            <w:tcBorders>
              <w:top w:val="nil"/>
              <w:left w:val="nil"/>
              <w:bottom w:val="nil"/>
              <w:right w:val="nil"/>
            </w:tcBorders>
            <w:vAlign w:val="center"/>
          </w:tcPr>
          <w:p w:rsidR="00F136A9" w:rsidRPr="00FD68D3" w:rsidRDefault="00F136A9" w:rsidP="005E086D">
            <w:pPr>
              <w:ind w:firstLineChars="50" w:firstLine="90"/>
              <w:jc w:val="center"/>
              <w:rPr>
                <w:rFonts w:cs="Times New Roman"/>
                <w:sz w:val="18"/>
                <w:szCs w:val="18"/>
              </w:rPr>
            </w:pPr>
            <w:r w:rsidRPr="00FD68D3">
              <w:rPr>
                <w:rFonts w:cs="Times New Roman"/>
                <w:sz w:val="18"/>
                <w:szCs w:val="18"/>
              </w:rPr>
              <w:t>2.20 vs 5.00</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r w:rsidRPr="00FD68D3">
              <w:rPr>
                <w:rFonts w:cs="Times New Roman" w:hint="eastAsia"/>
                <w:sz w:val="18"/>
                <w:szCs w:val="18"/>
              </w:rPr>
              <w:t xml:space="preserve"> </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r w:rsidRPr="00FD68D3">
              <w:rPr>
                <w:rFonts w:cs="Times New Roman" w:hint="eastAsia"/>
                <w:sz w:val="18"/>
                <w:szCs w:val="18"/>
              </w:rPr>
              <w:t xml:space="preserve"> </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134"/>
        </w:trPr>
        <w:tc>
          <w:tcPr>
            <w:tcW w:w="1487" w:type="dxa"/>
            <w:vMerge/>
            <w:tcBorders>
              <w:top w:val="nil"/>
              <w:left w:val="nil"/>
              <w:bottom w:val="nil"/>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5.00</w:t>
            </w:r>
            <w:r w:rsidRPr="00FD68D3">
              <w:rPr>
                <w:rFonts w:cs="Times New Roman"/>
                <w:sz w:val="18"/>
                <w:szCs w:val="18"/>
              </w:rPr>
              <w:t xml:space="preserve"> vs 10.00</w:t>
            </w:r>
          </w:p>
        </w:tc>
        <w:tc>
          <w:tcPr>
            <w:tcW w:w="1382"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nil"/>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r w:rsidR="00FD68D3" w:rsidRPr="00FD68D3" w:rsidTr="005E086D">
        <w:trPr>
          <w:trHeight w:val="223"/>
        </w:trPr>
        <w:tc>
          <w:tcPr>
            <w:tcW w:w="1487" w:type="dxa"/>
            <w:vMerge/>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p>
        </w:tc>
        <w:tc>
          <w:tcPr>
            <w:tcW w:w="1348"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sz w:val="18"/>
                <w:szCs w:val="18"/>
              </w:rPr>
              <w:t xml:space="preserve">2.20 vs </w:t>
            </w:r>
            <w:r w:rsidRPr="00FD68D3">
              <w:rPr>
                <w:rFonts w:cs="Times New Roman" w:hint="eastAsia"/>
                <w:sz w:val="18"/>
                <w:szCs w:val="18"/>
              </w:rPr>
              <w:t>10.00</w:t>
            </w:r>
          </w:p>
        </w:tc>
        <w:tc>
          <w:tcPr>
            <w:tcW w:w="1382"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7"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34"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443"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0"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78"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sz w:val="18"/>
                <w:szCs w:val="18"/>
              </w:rPr>
              <w:t>0.05</w:t>
            </w:r>
          </w:p>
        </w:tc>
        <w:tc>
          <w:tcPr>
            <w:tcW w:w="1380"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c>
          <w:tcPr>
            <w:tcW w:w="1383" w:type="dxa"/>
            <w:tcBorders>
              <w:top w:val="nil"/>
              <w:left w:val="nil"/>
              <w:bottom w:val="single" w:sz="12" w:space="0" w:color="auto"/>
              <w:right w:val="nil"/>
            </w:tcBorders>
            <w:vAlign w:val="center"/>
          </w:tcPr>
          <w:p w:rsidR="00F136A9" w:rsidRPr="00FD68D3" w:rsidRDefault="00F136A9" w:rsidP="005E086D">
            <w:pPr>
              <w:jc w:val="center"/>
              <w:rPr>
                <w:rFonts w:cs="Times New Roman"/>
                <w:sz w:val="18"/>
                <w:szCs w:val="18"/>
              </w:rPr>
            </w:pPr>
            <w:r w:rsidRPr="00FD68D3">
              <w:rPr>
                <w:rFonts w:cs="Times New Roman" w:hint="eastAsia"/>
                <w:sz w:val="18"/>
                <w:szCs w:val="18"/>
              </w:rPr>
              <w:t>＜</w:t>
            </w:r>
            <w:r w:rsidRPr="00FD68D3">
              <w:rPr>
                <w:rFonts w:cs="Times New Roman" w:hint="eastAsia"/>
                <w:sz w:val="18"/>
                <w:szCs w:val="18"/>
              </w:rPr>
              <w:t>0.05</w:t>
            </w:r>
          </w:p>
        </w:tc>
      </w:tr>
    </w:tbl>
    <w:p w:rsidR="00F136A9" w:rsidRPr="00FD68D3" w:rsidRDefault="00F136A9" w:rsidP="00F136A9">
      <w:pPr>
        <w:rPr>
          <w:rFonts w:cs="Times New Roman"/>
        </w:rPr>
      </w:pPr>
      <w:r w:rsidRPr="00FD68D3">
        <w:rPr>
          <w:rFonts w:cs="Times New Roman" w:hint="eastAsia"/>
        </w:rPr>
        <w:t xml:space="preserve">A, B, </w:t>
      </w:r>
      <w:r w:rsidRPr="00FD68D3">
        <w:rPr>
          <w:rFonts w:cs="Times New Roman"/>
        </w:rPr>
        <w:t xml:space="preserve">and </w:t>
      </w:r>
      <w:r w:rsidRPr="00FD68D3">
        <w:rPr>
          <w:rFonts w:cs="Times New Roman" w:hint="eastAsia"/>
        </w:rPr>
        <w:t xml:space="preserve">C </w:t>
      </w:r>
      <w:r w:rsidRPr="00FD68D3">
        <w:rPr>
          <w:rFonts w:cs="Times New Roman"/>
        </w:rPr>
        <w:t xml:space="preserve">denote 10-50 mesh, 50-100 mesh, </w:t>
      </w:r>
      <w:r w:rsidRPr="00FD68D3">
        <w:rPr>
          <w:rFonts w:cs="Times New Roman" w:hint="eastAsia"/>
        </w:rPr>
        <w:t>＜</w:t>
      </w:r>
      <w:r w:rsidRPr="00FD68D3">
        <w:rPr>
          <w:rFonts w:cs="Times New Roman" w:hint="eastAsia"/>
        </w:rPr>
        <w:t>100</w:t>
      </w:r>
      <w:r w:rsidRPr="00FD68D3">
        <w:rPr>
          <w:rFonts w:cs="Times New Roman"/>
        </w:rPr>
        <w:t xml:space="preserve"> mesh, respectively. Ec denotes electrical conductance.</w:t>
      </w:r>
    </w:p>
    <w:p w:rsidR="00777714" w:rsidRPr="00FD68D3" w:rsidRDefault="00C03D8F"/>
    <w:sectPr w:rsidR="00777714" w:rsidRPr="00FD68D3" w:rsidSect="00FD68D3">
      <w:type w:val="continuous"/>
      <w:pgSz w:w="16838" w:h="11906" w:orient="landscape" w:code="9"/>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C7" w:rsidRDefault="003008C7" w:rsidP="00D72B21">
      <w:r>
        <w:separator/>
      </w:r>
    </w:p>
  </w:endnote>
  <w:endnote w:type="continuationSeparator" w:id="0">
    <w:p w:rsidR="003008C7" w:rsidRDefault="003008C7" w:rsidP="00D7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09136"/>
      <w:docPartObj>
        <w:docPartGallery w:val="Page Numbers (Bottom of Page)"/>
        <w:docPartUnique/>
      </w:docPartObj>
    </w:sdtPr>
    <w:sdtEndPr>
      <w:rPr>
        <w:rFonts w:ascii="Times New Roman" w:hAnsi="Times New Roman" w:cs="Times New Roman"/>
      </w:rPr>
    </w:sdtEndPr>
    <w:sdtContent>
      <w:p w:rsidR="0090110D" w:rsidRPr="0090110D" w:rsidRDefault="0090110D">
        <w:pPr>
          <w:pStyle w:val="Footer"/>
          <w:jc w:val="center"/>
          <w:rPr>
            <w:rFonts w:ascii="Times New Roman" w:hAnsi="Times New Roman" w:cs="Times New Roman"/>
          </w:rPr>
        </w:pPr>
        <w:r w:rsidRPr="0090110D">
          <w:rPr>
            <w:rFonts w:ascii="Times New Roman" w:hAnsi="Times New Roman" w:cs="Times New Roman"/>
          </w:rPr>
          <w:fldChar w:fldCharType="begin"/>
        </w:r>
        <w:r w:rsidRPr="0090110D">
          <w:rPr>
            <w:rFonts w:ascii="Times New Roman" w:hAnsi="Times New Roman" w:cs="Times New Roman"/>
          </w:rPr>
          <w:instrText>PAGE   \* MERGEFORMAT</w:instrText>
        </w:r>
        <w:r w:rsidRPr="0090110D">
          <w:rPr>
            <w:rFonts w:ascii="Times New Roman" w:hAnsi="Times New Roman" w:cs="Times New Roman"/>
          </w:rPr>
          <w:fldChar w:fldCharType="separate"/>
        </w:r>
        <w:r w:rsidR="00C03D8F" w:rsidRPr="00C03D8F">
          <w:rPr>
            <w:rFonts w:ascii="Times New Roman" w:hAnsi="Times New Roman" w:cs="Times New Roman"/>
            <w:noProof/>
            <w:lang w:val="zh-CN"/>
          </w:rPr>
          <w:t>2</w:t>
        </w:r>
        <w:r w:rsidRPr="0090110D">
          <w:rPr>
            <w:rFonts w:ascii="Times New Roman" w:hAnsi="Times New Roman" w:cs="Times New Roman"/>
          </w:rPr>
          <w:fldChar w:fldCharType="end"/>
        </w:r>
      </w:p>
    </w:sdtContent>
  </w:sdt>
  <w:p w:rsidR="0090110D" w:rsidRDefault="0090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C7" w:rsidRDefault="003008C7" w:rsidP="00D72B21">
      <w:r>
        <w:separator/>
      </w:r>
    </w:p>
  </w:footnote>
  <w:footnote w:type="continuationSeparator" w:id="0">
    <w:p w:rsidR="003008C7" w:rsidRDefault="003008C7" w:rsidP="00D7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NzExNTE3NTUxMrNU0lEKTi0uzszPAykwqgUAWOGkWiwAAAA="/>
  </w:docVars>
  <w:rsids>
    <w:rsidRoot w:val="00553B6A"/>
    <w:rsid w:val="0004028C"/>
    <w:rsid w:val="00075760"/>
    <w:rsid w:val="00260911"/>
    <w:rsid w:val="003008C7"/>
    <w:rsid w:val="004039F6"/>
    <w:rsid w:val="00553B6A"/>
    <w:rsid w:val="00633C20"/>
    <w:rsid w:val="006C04DE"/>
    <w:rsid w:val="00736BCE"/>
    <w:rsid w:val="00744162"/>
    <w:rsid w:val="0085506E"/>
    <w:rsid w:val="008C023B"/>
    <w:rsid w:val="008D57B4"/>
    <w:rsid w:val="0090110D"/>
    <w:rsid w:val="00A44186"/>
    <w:rsid w:val="00BD5C61"/>
    <w:rsid w:val="00C03D8F"/>
    <w:rsid w:val="00C57448"/>
    <w:rsid w:val="00CC1AF9"/>
    <w:rsid w:val="00D50A39"/>
    <w:rsid w:val="00D72B21"/>
    <w:rsid w:val="00F136A9"/>
    <w:rsid w:val="00F21851"/>
    <w:rsid w:val="00FD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21"/>
    <w:pPr>
      <w:widowControl w:val="0"/>
      <w:jc w:val="both"/>
    </w:pPr>
    <w:rPr>
      <w:rFonts w:ascii="Times New Roman" w:hAnsi="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21"/>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HeaderChar">
    <w:name w:val="Header Char"/>
    <w:basedOn w:val="DefaultParagraphFont"/>
    <w:link w:val="Header"/>
    <w:uiPriority w:val="99"/>
    <w:rsid w:val="00D72B21"/>
    <w:rPr>
      <w:sz w:val="18"/>
      <w:szCs w:val="18"/>
    </w:rPr>
  </w:style>
  <w:style w:type="paragraph" w:styleId="Footer">
    <w:name w:val="footer"/>
    <w:basedOn w:val="Normal"/>
    <w:link w:val="FooterChar"/>
    <w:uiPriority w:val="99"/>
    <w:unhideWhenUsed/>
    <w:rsid w:val="00D72B21"/>
    <w:pPr>
      <w:tabs>
        <w:tab w:val="center" w:pos="4153"/>
        <w:tab w:val="right" w:pos="8306"/>
      </w:tabs>
      <w:snapToGrid w:val="0"/>
      <w:jc w:val="left"/>
    </w:pPr>
    <w:rPr>
      <w:rFonts w:asciiTheme="minorHAnsi" w:hAnsiTheme="minorHAnsi"/>
      <w:sz w:val="18"/>
      <w:szCs w:val="18"/>
    </w:rPr>
  </w:style>
  <w:style w:type="character" w:customStyle="1" w:styleId="FooterChar">
    <w:name w:val="Footer Char"/>
    <w:basedOn w:val="DefaultParagraphFont"/>
    <w:link w:val="Footer"/>
    <w:uiPriority w:val="99"/>
    <w:rsid w:val="00D72B21"/>
    <w:rPr>
      <w:sz w:val="18"/>
      <w:szCs w:val="18"/>
    </w:rPr>
  </w:style>
  <w:style w:type="table" w:styleId="TableGrid">
    <w:name w:val="Table Grid"/>
    <w:basedOn w:val="TableNormal"/>
    <w:uiPriority w:val="39"/>
    <w:rsid w:val="00F1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136A9"/>
  </w:style>
  <w:style w:type="paragraph" w:styleId="BalloonText">
    <w:name w:val="Balloon Text"/>
    <w:basedOn w:val="Normal"/>
    <w:link w:val="BalloonTextChar"/>
    <w:uiPriority w:val="99"/>
    <w:semiHidden/>
    <w:unhideWhenUsed/>
    <w:rsid w:val="00FD68D3"/>
    <w:rPr>
      <w:rFonts w:ascii="Tahoma" w:hAnsi="Tahoma" w:cs="Tahoma"/>
      <w:sz w:val="16"/>
      <w:szCs w:val="16"/>
    </w:rPr>
  </w:style>
  <w:style w:type="character" w:customStyle="1" w:styleId="BalloonTextChar">
    <w:name w:val="Balloon Text Char"/>
    <w:basedOn w:val="DefaultParagraphFont"/>
    <w:link w:val="BalloonText"/>
    <w:uiPriority w:val="99"/>
    <w:semiHidden/>
    <w:rsid w:val="00FD6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21"/>
    <w:pPr>
      <w:widowControl w:val="0"/>
      <w:jc w:val="both"/>
    </w:pPr>
    <w:rPr>
      <w:rFonts w:ascii="Times New Roman" w:hAnsi="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21"/>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HeaderChar">
    <w:name w:val="Header Char"/>
    <w:basedOn w:val="DefaultParagraphFont"/>
    <w:link w:val="Header"/>
    <w:uiPriority w:val="99"/>
    <w:rsid w:val="00D72B21"/>
    <w:rPr>
      <w:sz w:val="18"/>
      <w:szCs w:val="18"/>
    </w:rPr>
  </w:style>
  <w:style w:type="paragraph" w:styleId="Footer">
    <w:name w:val="footer"/>
    <w:basedOn w:val="Normal"/>
    <w:link w:val="FooterChar"/>
    <w:uiPriority w:val="99"/>
    <w:unhideWhenUsed/>
    <w:rsid w:val="00D72B21"/>
    <w:pPr>
      <w:tabs>
        <w:tab w:val="center" w:pos="4153"/>
        <w:tab w:val="right" w:pos="8306"/>
      </w:tabs>
      <w:snapToGrid w:val="0"/>
      <w:jc w:val="left"/>
    </w:pPr>
    <w:rPr>
      <w:rFonts w:asciiTheme="minorHAnsi" w:hAnsiTheme="minorHAnsi"/>
      <w:sz w:val="18"/>
      <w:szCs w:val="18"/>
    </w:rPr>
  </w:style>
  <w:style w:type="character" w:customStyle="1" w:styleId="FooterChar">
    <w:name w:val="Footer Char"/>
    <w:basedOn w:val="DefaultParagraphFont"/>
    <w:link w:val="Footer"/>
    <w:uiPriority w:val="99"/>
    <w:rsid w:val="00D72B21"/>
    <w:rPr>
      <w:sz w:val="18"/>
      <w:szCs w:val="18"/>
    </w:rPr>
  </w:style>
  <w:style w:type="table" w:styleId="TableGrid">
    <w:name w:val="Table Grid"/>
    <w:basedOn w:val="TableNormal"/>
    <w:uiPriority w:val="39"/>
    <w:rsid w:val="00F1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136A9"/>
  </w:style>
  <w:style w:type="paragraph" w:styleId="BalloonText">
    <w:name w:val="Balloon Text"/>
    <w:basedOn w:val="Normal"/>
    <w:link w:val="BalloonTextChar"/>
    <w:uiPriority w:val="99"/>
    <w:semiHidden/>
    <w:unhideWhenUsed/>
    <w:rsid w:val="00FD68D3"/>
    <w:rPr>
      <w:rFonts w:ascii="Tahoma" w:hAnsi="Tahoma" w:cs="Tahoma"/>
      <w:sz w:val="16"/>
      <w:szCs w:val="16"/>
    </w:rPr>
  </w:style>
  <w:style w:type="character" w:customStyle="1" w:styleId="BalloonTextChar">
    <w:name w:val="Balloon Text Char"/>
    <w:basedOn w:val="DefaultParagraphFont"/>
    <w:link w:val="BalloonText"/>
    <w:uiPriority w:val="99"/>
    <w:semiHidden/>
    <w:rsid w:val="00FD6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Lucy Bell</cp:lastModifiedBy>
  <cp:revision>2</cp:revision>
  <dcterms:created xsi:type="dcterms:W3CDTF">2020-08-10T11:56:00Z</dcterms:created>
  <dcterms:modified xsi:type="dcterms:W3CDTF">2020-08-10T11:56:00Z</dcterms:modified>
</cp:coreProperties>
</file>