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8A" w:rsidRPr="00D5419A" w:rsidRDefault="00FC299E" w:rsidP="00FC299E">
      <w:pPr>
        <w:spacing w:line="480" w:lineRule="auto"/>
        <w:rPr>
          <w:rFonts w:ascii="Times New Roman" w:hAnsi="Times New Roman" w:cs="Times New Roman"/>
          <w:b/>
          <w:lang w:val="en-US"/>
        </w:rPr>
      </w:pPr>
      <w:r w:rsidRPr="00D5419A">
        <w:rPr>
          <w:rFonts w:ascii="Times New Roman" w:hAnsi="Times New Roman" w:cs="Times New Roman"/>
          <w:b/>
          <w:lang w:val="en-US"/>
        </w:rPr>
        <w:t>Methods and analytical procedures</w:t>
      </w:r>
    </w:p>
    <w:p w:rsidR="00FC299E" w:rsidRPr="00FC299E" w:rsidRDefault="00FC299E" w:rsidP="00FC299E">
      <w:pPr>
        <w:spacing w:after="120" w:line="480" w:lineRule="auto"/>
        <w:ind w:firstLine="454"/>
        <w:rPr>
          <w:bCs/>
          <w:color w:val="000000" w:themeColor="text1"/>
          <w:lang w:val="en-GB"/>
        </w:rPr>
      </w:pPr>
      <w:r w:rsidRPr="00FC299E">
        <w:rPr>
          <w:bCs/>
          <w:color w:val="000000" w:themeColor="text1"/>
          <w:lang w:val="en-GB"/>
        </w:rPr>
        <w:t xml:space="preserve">Mineral compositions were determined by wavelength-dispersive spectrometry (WDS) with a JEOL JXA-8230 electron microprobe equipped with three crystal spectrometers at Electron Microscopy Laboratory and X-ray Analyses unit of Cordoba National University (http://www.famaf.unc.edu.ar/lamarx/lamerx1sem.html). Operating conditions were: acceleration voltage of 15 kV, probe current of 10 </w:t>
      </w:r>
      <w:proofErr w:type="spellStart"/>
      <w:r w:rsidRPr="00FC299E">
        <w:rPr>
          <w:bCs/>
          <w:color w:val="000000" w:themeColor="text1"/>
          <w:lang w:val="en-GB"/>
        </w:rPr>
        <w:t>nA</w:t>
      </w:r>
      <w:proofErr w:type="spellEnd"/>
      <w:r w:rsidRPr="00FC299E">
        <w:rPr>
          <w:bCs/>
          <w:color w:val="000000" w:themeColor="text1"/>
          <w:lang w:val="en-GB"/>
        </w:rPr>
        <w:t xml:space="preserve">, with a beam diameter ranging from 5 to 8 </w:t>
      </w:r>
      <w:proofErr w:type="spellStart"/>
      <w:r w:rsidRPr="00FC299E">
        <w:rPr>
          <w:bCs/>
          <w:color w:val="000000" w:themeColor="text1"/>
          <w:lang w:val="en-GB"/>
        </w:rPr>
        <w:t>μm</w:t>
      </w:r>
      <w:proofErr w:type="spellEnd"/>
      <w:r w:rsidRPr="00FC299E">
        <w:rPr>
          <w:bCs/>
          <w:color w:val="000000" w:themeColor="text1"/>
          <w:lang w:val="en-GB"/>
        </w:rPr>
        <w:t xml:space="preserve">. </w:t>
      </w:r>
      <w:r w:rsidRPr="00FC299E">
        <w:rPr>
          <w:bCs/>
          <w:color w:val="FF0000"/>
          <w:lang w:val="en-GB"/>
        </w:rPr>
        <w:t>The analyses were corrected using Phi-Rho-Z method</w:t>
      </w:r>
      <w:r w:rsidRPr="00FC299E">
        <w:rPr>
          <w:bCs/>
          <w:color w:val="000000" w:themeColor="text1"/>
          <w:lang w:val="en-GB"/>
        </w:rPr>
        <w:t>. Representative mineral analyses are listed in Table</w:t>
      </w:r>
      <w:r w:rsidR="00636E2C">
        <w:rPr>
          <w:bCs/>
          <w:color w:val="000000" w:themeColor="text1"/>
          <w:lang w:val="en-GB"/>
        </w:rPr>
        <w:t xml:space="preserve"> S2</w:t>
      </w:r>
      <w:r w:rsidRPr="00FC299E">
        <w:rPr>
          <w:bCs/>
          <w:color w:val="000000" w:themeColor="text1"/>
          <w:lang w:val="en-GB"/>
        </w:rPr>
        <w:t>.</w:t>
      </w:r>
    </w:p>
    <w:p w:rsidR="00FC299E" w:rsidRPr="00FC299E" w:rsidRDefault="00FC299E" w:rsidP="00FC299E">
      <w:pPr>
        <w:spacing w:after="120" w:line="480" w:lineRule="auto"/>
        <w:ind w:firstLine="454"/>
        <w:rPr>
          <w:bCs/>
          <w:color w:val="000000" w:themeColor="text1"/>
          <w:lang w:val="en-GB"/>
        </w:rPr>
      </w:pPr>
      <w:r w:rsidRPr="00FC299E">
        <w:rPr>
          <w:bCs/>
          <w:color w:val="000000" w:themeColor="text1"/>
          <w:lang w:val="en-GB"/>
        </w:rPr>
        <w:t xml:space="preserve">Zircon grains from samples TAB-24 and TAB-40 were separated following the classic method at the Geochronological Research </w:t>
      </w:r>
      <w:proofErr w:type="spellStart"/>
      <w:r w:rsidRPr="00FC299E">
        <w:rPr>
          <w:bCs/>
          <w:color w:val="000000" w:themeColor="text1"/>
          <w:lang w:val="en-GB"/>
        </w:rPr>
        <w:t>Center</w:t>
      </w:r>
      <w:proofErr w:type="spellEnd"/>
      <w:r w:rsidRPr="00FC299E">
        <w:rPr>
          <w:bCs/>
          <w:color w:val="000000" w:themeColor="text1"/>
          <w:lang w:val="en-GB"/>
        </w:rPr>
        <w:t>, São Paulo University (GRC-SPU), Brazil. As starting material 3 kg of rock were crushed and sieved. The &lt;140 mesh fraction was separated using hydraulic processes to obtain heavy mineral pre-concentrates, which were further separated in bromoform and then methylene iodide to obtain a fraction enriched in zircons. This was followed by an electromagnetic separation with Frantz Isodynamic equipment when necessary. Zircons were hand-picked under a binocular microscope and subsequently mounted in 2 cm diameter epoxy resin and polished. The grains were photographed in reflected and transmitted light, and cathodoluminescence (CL) images were produced in order to investigate the internal structures of the zircon crystals as well as to characterize different populations.</w:t>
      </w:r>
    </w:p>
    <w:p w:rsidR="00FC299E" w:rsidRPr="00FC299E" w:rsidRDefault="00FC299E" w:rsidP="00FC299E">
      <w:pPr>
        <w:spacing w:after="120" w:line="480" w:lineRule="auto"/>
        <w:ind w:firstLine="454"/>
        <w:rPr>
          <w:bCs/>
          <w:color w:val="000000" w:themeColor="text1"/>
          <w:lang w:val="en-GB"/>
        </w:rPr>
      </w:pPr>
      <w:r w:rsidRPr="00FC299E">
        <w:rPr>
          <w:bCs/>
          <w:color w:val="000000" w:themeColor="text1"/>
          <w:lang w:val="en-GB"/>
        </w:rPr>
        <w:t xml:space="preserve">SHRIMP U–Pb analysis of separated zircons were carried out at the Institute of Geosciences of the University of São Paulo. SHRIMP software was LabVIEW 8.5 and SHRIMP SW, version 2.1. Data were reduced using SQUID software (Ludwig, 2009). Common lead corrections were carried out using </w:t>
      </w:r>
      <w:r w:rsidRPr="00FC299E">
        <w:rPr>
          <w:bCs/>
          <w:color w:val="000000" w:themeColor="text1"/>
          <w:vertAlign w:val="superscript"/>
          <w:lang w:val="en-GB"/>
        </w:rPr>
        <w:t>204</w:t>
      </w:r>
      <w:r w:rsidRPr="00FC299E">
        <w:rPr>
          <w:bCs/>
          <w:color w:val="000000" w:themeColor="text1"/>
          <w:lang w:val="en-GB"/>
        </w:rPr>
        <w:t xml:space="preserve">Pb according to Stacey and Kramer </w:t>
      </w:r>
      <w:r w:rsidRPr="00FC299E">
        <w:rPr>
          <w:bCs/>
          <w:color w:val="000000" w:themeColor="text1"/>
          <w:lang w:val="en-GB"/>
        </w:rPr>
        <w:lastRenderedPageBreak/>
        <w:t xml:space="preserve">(1975). More detail about the analytical methodology are extensively reported by Sato et al. (2014). Results are reported in Table </w:t>
      </w:r>
      <w:r w:rsidR="00636E2C">
        <w:rPr>
          <w:bCs/>
          <w:color w:val="000000" w:themeColor="text1"/>
          <w:lang w:val="en-GB"/>
        </w:rPr>
        <w:t>1</w:t>
      </w:r>
      <w:r w:rsidRPr="00FC299E">
        <w:rPr>
          <w:bCs/>
          <w:color w:val="000000" w:themeColor="text1"/>
          <w:lang w:val="en-GB"/>
        </w:rPr>
        <w:t>.</w:t>
      </w:r>
    </w:p>
    <w:p w:rsidR="00FC299E" w:rsidRPr="00FC299E" w:rsidRDefault="00FC299E" w:rsidP="00FC299E">
      <w:pPr>
        <w:spacing w:after="120" w:line="480" w:lineRule="auto"/>
        <w:ind w:firstLine="454"/>
        <w:rPr>
          <w:bCs/>
          <w:color w:val="000000" w:themeColor="text1"/>
          <w:lang w:val="en-GB"/>
        </w:rPr>
      </w:pPr>
      <w:r w:rsidRPr="00FC299E">
        <w:rPr>
          <w:bCs/>
          <w:color w:val="000000" w:themeColor="text1"/>
          <w:lang w:val="en-GB"/>
        </w:rPr>
        <w:t xml:space="preserve">Whole-rock major and trace element analyses using ICP and ICP-MS were carried out at </w:t>
      </w:r>
      <w:proofErr w:type="spellStart"/>
      <w:r w:rsidRPr="00FC299E">
        <w:rPr>
          <w:bCs/>
          <w:color w:val="000000" w:themeColor="text1"/>
          <w:lang w:val="en-GB"/>
        </w:rPr>
        <w:t>AcmeLab</w:t>
      </w:r>
      <w:proofErr w:type="spellEnd"/>
      <w:r w:rsidRPr="00FC299E">
        <w:rPr>
          <w:bCs/>
          <w:color w:val="000000" w:themeColor="text1"/>
          <w:lang w:val="en-GB"/>
        </w:rPr>
        <w:t xml:space="preserve"> Bureau Veritas Mineral Laboratories, Vancouver, Canada (following the procedure LF-200 </w:t>
      </w:r>
      <w:proofErr w:type="spellStart"/>
      <w:r w:rsidRPr="00FC299E">
        <w:rPr>
          <w:bCs/>
          <w:color w:val="000000" w:themeColor="text1"/>
          <w:lang w:val="en-GB"/>
        </w:rPr>
        <w:t>lithogeochemistry</w:t>
      </w:r>
      <w:proofErr w:type="spellEnd"/>
      <w:r w:rsidRPr="00FC299E">
        <w:rPr>
          <w:bCs/>
          <w:color w:val="000000" w:themeColor="text1"/>
          <w:lang w:val="en-GB"/>
        </w:rPr>
        <w:t xml:space="preserve"> code;</w:t>
      </w:r>
      <w:r w:rsidRPr="00FC299E">
        <w:rPr>
          <w:bCs/>
          <w:color w:val="0432FF"/>
          <w:lang w:val="en-GB"/>
        </w:rPr>
        <w:t xml:space="preserve"> </w:t>
      </w:r>
      <w:hyperlink r:id="rId4" w:history="1">
        <w:r w:rsidRPr="00FC299E">
          <w:rPr>
            <w:rStyle w:val="Hipervnculo"/>
            <w:bCs/>
            <w:color w:val="0432FF"/>
            <w:lang w:val="en-GB"/>
          </w:rPr>
          <w:t>http://acmelab.com/wp-content/uploads/2009/03/BVM_2018-Fee-Schedule_USD_v2_20Sep2018.pdf</w:t>
        </w:r>
      </w:hyperlink>
      <w:r w:rsidRPr="00FC299E">
        <w:rPr>
          <w:bCs/>
          <w:color w:val="000000" w:themeColor="text1"/>
          <w:lang w:val="en-GB"/>
        </w:rPr>
        <w:t>). Results are listed in Table 6.</w:t>
      </w:r>
      <w:r w:rsidR="00D5419A">
        <w:rPr>
          <w:bCs/>
          <w:color w:val="000000" w:themeColor="text1"/>
          <w:lang w:val="en-GB"/>
        </w:rPr>
        <w:t xml:space="preserve"> </w:t>
      </w:r>
      <w:r w:rsidR="00D5419A" w:rsidRPr="00D5419A">
        <w:rPr>
          <w:bCs/>
          <w:color w:val="FF0000"/>
          <w:lang w:val="en-GB"/>
        </w:rPr>
        <w:t xml:space="preserve">The detection limits, reference materials and duplicates are </w:t>
      </w:r>
      <w:r w:rsidR="00AE65FA">
        <w:rPr>
          <w:bCs/>
          <w:color w:val="FF0000"/>
          <w:lang w:val="en-GB"/>
        </w:rPr>
        <w:t xml:space="preserve">found </w:t>
      </w:r>
      <w:r w:rsidR="00D5419A" w:rsidRPr="00D5419A">
        <w:rPr>
          <w:bCs/>
          <w:color w:val="FF0000"/>
          <w:lang w:val="en-GB"/>
        </w:rPr>
        <w:t xml:space="preserve">in </w:t>
      </w:r>
      <w:r w:rsidR="00AE65FA">
        <w:rPr>
          <w:bCs/>
          <w:color w:val="FF0000"/>
          <w:lang w:val="en-GB"/>
        </w:rPr>
        <w:t>Table</w:t>
      </w:r>
      <w:r w:rsidR="00D5419A" w:rsidRPr="00D5419A">
        <w:rPr>
          <w:bCs/>
          <w:color w:val="FF0000"/>
          <w:lang w:val="en-GB"/>
        </w:rPr>
        <w:t xml:space="preserve"> </w:t>
      </w:r>
      <w:r w:rsidR="00AE65FA">
        <w:rPr>
          <w:bCs/>
          <w:color w:val="FF0000"/>
          <w:lang w:val="en-GB"/>
        </w:rPr>
        <w:t>S</w:t>
      </w:r>
      <w:r w:rsidR="00D5419A" w:rsidRPr="00D5419A">
        <w:rPr>
          <w:bCs/>
          <w:color w:val="FF0000"/>
          <w:lang w:val="en-GB"/>
        </w:rPr>
        <w:t xml:space="preserve">1. </w:t>
      </w:r>
    </w:p>
    <w:p w:rsidR="00FC299E" w:rsidRPr="00AF4A64" w:rsidRDefault="00FC299E" w:rsidP="00AF4A64">
      <w:pPr>
        <w:spacing w:after="120" w:line="480" w:lineRule="auto"/>
        <w:ind w:firstLine="454"/>
        <w:rPr>
          <w:bCs/>
          <w:color w:val="000000" w:themeColor="text1"/>
          <w:lang w:val="en-GB"/>
        </w:rPr>
      </w:pPr>
      <w:r w:rsidRPr="00FC299E">
        <w:rPr>
          <w:bCs/>
          <w:color w:val="000000" w:themeColor="text1"/>
          <w:lang w:val="en-GB"/>
        </w:rPr>
        <w:t xml:space="preserve">Sr and Nd isotopic analyses were carried out at the Geochronology and Isotope Geochemistry </w:t>
      </w:r>
      <w:proofErr w:type="spellStart"/>
      <w:r w:rsidRPr="00FC299E">
        <w:rPr>
          <w:bCs/>
          <w:color w:val="000000" w:themeColor="text1"/>
          <w:lang w:val="en-GB"/>
        </w:rPr>
        <w:t>Center</w:t>
      </w:r>
      <w:proofErr w:type="spellEnd"/>
      <w:r w:rsidRPr="00FC299E">
        <w:rPr>
          <w:bCs/>
          <w:color w:val="000000" w:themeColor="text1"/>
          <w:lang w:val="en-GB"/>
        </w:rPr>
        <w:t xml:space="preserve"> of the </w:t>
      </w:r>
      <w:proofErr w:type="spellStart"/>
      <w:r w:rsidRPr="00FC299E">
        <w:rPr>
          <w:bCs/>
          <w:color w:val="000000" w:themeColor="text1"/>
          <w:lang w:val="en-GB"/>
        </w:rPr>
        <w:t>Complutense</w:t>
      </w:r>
      <w:proofErr w:type="spellEnd"/>
      <w:r w:rsidRPr="00FC299E">
        <w:rPr>
          <w:bCs/>
          <w:color w:val="000000" w:themeColor="text1"/>
          <w:lang w:val="en-GB"/>
        </w:rPr>
        <w:t xml:space="preserve"> University (Madrid, Spain) using an automated </w:t>
      </w:r>
      <w:proofErr w:type="spellStart"/>
      <w:r w:rsidRPr="00FC299E">
        <w:rPr>
          <w:bCs/>
          <w:color w:val="000000" w:themeColor="text1"/>
          <w:lang w:val="en-GB"/>
        </w:rPr>
        <w:t>multicollector</w:t>
      </w:r>
      <w:proofErr w:type="spellEnd"/>
      <w:r w:rsidRPr="00FC299E">
        <w:rPr>
          <w:bCs/>
          <w:color w:val="000000" w:themeColor="text1"/>
          <w:lang w:val="en-GB"/>
        </w:rPr>
        <w:t xml:space="preserve"> TIMS-Phoenix</w:t>
      </w:r>
      <w:r w:rsidRPr="00FC299E">
        <w:rPr>
          <w:bCs/>
          <w:color w:val="000000" w:themeColor="text1"/>
          <w:vertAlign w:val="superscript"/>
          <w:lang w:val="en-GB"/>
        </w:rPr>
        <w:t>®</w:t>
      </w:r>
      <w:r w:rsidRPr="00FC299E">
        <w:rPr>
          <w:bCs/>
          <w:color w:val="000000" w:themeColor="text1"/>
          <w:lang w:val="en-GB"/>
        </w:rPr>
        <w:t xml:space="preserve">. Results are shown in Table </w:t>
      </w:r>
      <w:r w:rsidR="001A7EF3">
        <w:rPr>
          <w:bCs/>
          <w:color w:val="000000" w:themeColor="text1"/>
          <w:lang w:val="en-GB"/>
        </w:rPr>
        <w:t>2</w:t>
      </w:r>
      <w:r w:rsidRPr="00FC299E">
        <w:rPr>
          <w:bCs/>
          <w:color w:val="000000" w:themeColor="text1"/>
          <w:lang w:val="en-GB"/>
        </w:rPr>
        <w:t xml:space="preserve">. Errors are quoted throughout as two standard deviations from measured or calculated values. Analytical uncertainties are estimated to be 0.01% for </w:t>
      </w:r>
      <w:r w:rsidRPr="00FC299E">
        <w:rPr>
          <w:bCs/>
          <w:color w:val="000000" w:themeColor="text1"/>
          <w:vertAlign w:val="superscript"/>
          <w:lang w:val="en-GB"/>
        </w:rPr>
        <w:t>87</w:t>
      </w:r>
      <w:r w:rsidRPr="00FC299E">
        <w:rPr>
          <w:bCs/>
          <w:color w:val="000000" w:themeColor="text1"/>
          <w:lang w:val="en-GB"/>
        </w:rPr>
        <w:t>Sr/</w:t>
      </w:r>
      <w:r w:rsidRPr="00FC299E">
        <w:rPr>
          <w:bCs/>
          <w:color w:val="000000" w:themeColor="text1"/>
          <w:vertAlign w:val="superscript"/>
          <w:lang w:val="en-GB"/>
        </w:rPr>
        <w:t>86</w:t>
      </w:r>
      <w:r w:rsidRPr="00FC299E">
        <w:rPr>
          <w:bCs/>
          <w:color w:val="000000" w:themeColor="text1"/>
          <w:lang w:val="en-GB"/>
        </w:rPr>
        <w:t xml:space="preserve">Sr, 0.006% for </w:t>
      </w:r>
      <w:r w:rsidRPr="00FC299E">
        <w:rPr>
          <w:bCs/>
          <w:color w:val="000000" w:themeColor="text1"/>
          <w:vertAlign w:val="superscript"/>
          <w:lang w:val="en-GB"/>
        </w:rPr>
        <w:t>143</w:t>
      </w:r>
      <w:r w:rsidRPr="00FC299E">
        <w:rPr>
          <w:bCs/>
          <w:color w:val="000000" w:themeColor="text1"/>
          <w:lang w:val="en-GB"/>
        </w:rPr>
        <w:t>Nd/</w:t>
      </w:r>
      <w:r w:rsidRPr="00FC299E">
        <w:rPr>
          <w:bCs/>
          <w:color w:val="000000" w:themeColor="text1"/>
          <w:vertAlign w:val="superscript"/>
          <w:lang w:val="en-GB"/>
        </w:rPr>
        <w:t>144</w:t>
      </w:r>
      <w:r w:rsidRPr="00FC299E">
        <w:rPr>
          <w:bCs/>
          <w:color w:val="000000" w:themeColor="text1"/>
          <w:lang w:val="en-GB"/>
        </w:rPr>
        <w:t xml:space="preserve">Nd, 1% for </w:t>
      </w:r>
      <w:r w:rsidRPr="00FC299E">
        <w:rPr>
          <w:bCs/>
          <w:color w:val="000000" w:themeColor="text1"/>
          <w:vertAlign w:val="superscript"/>
          <w:lang w:val="en-GB"/>
        </w:rPr>
        <w:t>87</w:t>
      </w:r>
      <w:r w:rsidRPr="00FC299E">
        <w:rPr>
          <w:bCs/>
          <w:color w:val="000000" w:themeColor="text1"/>
          <w:lang w:val="en-GB"/>
        </w:rPr>
        <w:t>Rb/</w:t>
      </w:r>
      <w:r w:rsidRPr="00FC299E">
        <w:rPr>
          <w:bCs/>
          <w:color w:val="000000" w:themeColor="text1"/>
          <w:vertAlign w:val="superscript"/>
          <w:lang w:val="en-GB"/>
        </w:rPr>
        <w:t>86</w:t>
      </w:r>
      <w:r w:rsidRPr="00FC299E">
        <w:rPr>
          <w:bCs/>
          <w:color w:val="000000" w:themeColor="text1"/>
          <w:lang w:val="en-GB"/>
        </w:rPr>
        <w:t xml:space="preserve">Sr, and 0.1% </w:t>
      </w:r>
      <w:r w:rsidRPr="00FC299E">
        <w:rPr>
          <w:bCs/>
          <w:color w:val="000000" w:themeColor="text1"/>
          <w:vertAlign w:val="superscript"/>
          <w:lang w:val="en-GB"/>
        </w:rPr>
        <w:t>147</w:t>
      </w:r>
      <w:r w:rsidRPr="00FC299E">
        <w:rPr>
          <w:bCs/>
          <w:color w:val="000000" w:themeColor="text1"/>
          <w:lang w:val="en-GB"/>
        </w:rPr>
        <w:t>Sm/</w:t>
      </w:r>
      <w:r w:rsidRPr="00FC299E">
        <w:rPr>
          <w:bCs/>
          <w:color w:val="000000" w:themeColor="text1"/>
          <w:vertAlign w:val="superscript"/>
          <w:lang w:val="en-GB"/>
        </w:rPr>
        <w:t>144</w:t>
      </w:r>
      <w:r w:rsidRPr="00FC299E">
        <w:rPr>
          <w:bCs/>
          <w:color w:val="000000" w:themeColor="text1"/>
          <w:lang w:val="en-GB"/>
        </w:rPr>
        <w:t xml:space="preserve">Nd. Replicate analyses of the NBS-987 Sr-isotope standard yielded an average </w:t>
      </w:r>
      <w:r w:rsidRPr="00FC299E">
        <w:rPr>
          <w:bCs/>
          <w:color w:val="000000" w:themeColor="text1"/>
          <w:vertAlign w:val="superscript"/>
          <w:lang w:val="en-GB"/>
        </w:rPr>
        <w:t>87</w:t>
      </w:r>
      <w:r w:rsidRPr="00FC299E">
        <w:rPr>
          <w:bCs/>
          <w:color w:val="000000" w:themeColor="text1"/>
          <w:lang w:val="en-GB"/>
        </w:rPr>
        <w:t>Sr/</w:t>
      </w:r>
      <w:r w:rsidRPr="00FC299E">
        <w:rPr>
          <w:bCs/>
          <w:color w:val="000000" w:themeColor="text1"/>
          <w:vertAlign w:val="superscript"/>
          <w:lang w:val="en-GB"/>
        </w:rPr>
        <w:t>86</w:t>
      </w:r>
      <w:r w:rsidRPr="00FC299E">
        <w:rPr>
          <w:bCs/>
          <w:color w:val="000000" w:themeColor="text1"/>
          <w:lang w:val="en-GB"/>
        </w:rPr>
        <w:t xml:space="preserve">Sr ratio of 0.710243±0.000012 (n = 6) and JNdi-1 Nd-isotope standard yielded an average </w:t>
      </w:r>
      <w:r w:rsidRPr="00FC299E">
        <w:rPr>
          <w:bCs/>
          <w:color w:val="000000" w:themeColor="text1"/>
          <w:vertAlign w:val="superscript"/>
          <w:lang w:val="en-GB"/>
        </w:rPr>
        <w:t>143</w:t>
      </w:r>
      <w:r w:rsidRPr="00FC299E">
        <w:rPr>
          <w:bCs/>
          <w:color w:val="000000" w:themeColor="text1"/>
          <w:lang w:val="en-GB"/>
        </w:rPr>
        <w:t>Nd/</w:t>
      </w:r>
      <w:r w:rsidRPr="00FC299E">
        <w:rPr>
          <w:bCs/>
          <w:color w:val="000000" w:themeColor="text1"/>
          <w:vertAlign w:val="superscript"/>
          <w:lang w:val="en-GB"/>
        </w:rPr>
        <w:t>144</w:t>
      </w:r>
      <w:r w:rsidRPr="00FC299E">
        <w:rPr>
          <w:bCs/>
          <w:color w:val="000000" w:themeColor="text1"/>
          <w:lang w:val="en-GB"/>
        </w:rPr>
        <w:t xml:space="preserve">Nd ratio of 0.512106 ± 0.000006 (n = 10). </w:t>
      </w:r>
      <w:r w:rsidRPr="00FC299E">
        <w:rPr>
          <w:bCs/>
          <w:color w:val="000000" w:themeColor="text1"/>
          <w:vertAlign w:val="superscript"/>
          <w:lang w:val="en-GB"/>
        </w:rPr>
        <w:t>87</w:t>
      </w:r>
      <w:r w:rsidRPr="00FC299E">
        <w:rPr>
          <w:bCs/>
          <w:color w:val="000000" w:themeColor="text1"/>
          <w:lang w:val="en-GB"/>
        </w:rPr>
        <w:t>Sr/</w:t>
      </w:r>
      <w:r w:rsidRPr="00FC299E">
        <w:rPr>
          <w:bCs/>
          <w:color w:val="000000" w:themeColor="text1"/>
          <w:vertAlign w:val="superscript"/>
          <w:lang w:val="en-GB"/>
        </w:rPr>
        <w:t>86</w:t>
      </w:r>
      <w:r w:rsidRPr="00FC299E">
        <w:rPr>
          <w:bCs/>
          <w:color w:val="000000" w:themeColor="text1"/>
          <w:lang w:val="en-GB"/>
        </w:rPr>
        <w:t xml:space="preserve">Sr and </w:t>
      </w:r>
      <w:r w:rsidRPr="00FC299E">
        <w:rPr>
          <w:bCs/>
          <w:color w:val="000000" w:themeColor="text1"/>
          <w:vertAlign w:val="superscript"/>
          <w:lang w:val="en-GB"/>
        </w:rPr>
        <w:t>143</w:t>
      </w:r>
      <w:r w:rsidRPr="00FC299E">
        <w:rPr>
          <w:bCs/>
          <w:color w:val="000000" w:themeColor="text1"/>
          <w:lang w:val="en-GB"/>
        </w:rPr>
        <w:t>Nd/</w:t>
      </w:r>
      <w:r w:rsidRPr="00FC299E">
        <w:rPr>
          <w:bCs/>
          <w:color w:val="000000" w:themeColor="text1"/>
          <w:vertAlign w:val="superscript"/>
          <w:lang w:val="en-GB"/>
        </w:rPr>
        <w:t>144</w:t>
      </w:r>
      <w:r w:rsidRPr="00FC299E">
        <w:rPr>
          <w:bCs/>
          <w:color w:val="000000" w:themeColor="text1"/>
          <w:lang w:val="en-GB"/>
        </w:rPr>
        <w:t xml:space="preserve">Nd were normalised to </w:t>
      </w:r>
      <w:r w:rsidRPr="00FC299E">
        <w:rPr>
          <w:bCs/>
          <w:color w:val="000000" w:themeColor="text1"/>
          <w:vertAlign w:val="superscript"/>
          <w:lang w:val="en-GB"/>
        </w:rPr>
        <w:t>86</w:t>
      </w:r>
      <w:r w:rsidRPr="00FC299E">
        <w:rPr>
          <w:bCs/>
          <w:color w:val="000000" w:themeColor="text1"/>
          <w:lang w:val="en-GB"/>
        </w:rPr>
        <w:t>Sr/</w:t>
      </w:r>
      <w:r w:rsidRPr="00FC299E">
        <w:rPr>
          <w:bCs/>
          <w:color w:val="000000" w:themeColor="text1"/>
          <w:vertAlign w:val="superscript"/>
          <w:lang w:val="en-GB"/>
        </w:rPr>
        <w:t>88</w:t>
      </w:r>
      <w:r w:rsidRPr="00FC299E">
        <w:rPr>
          <w:bCs/>
          <w:color w:val="000000" w:themeColor="text1"/>
          <w:lang w:val="en-GB"/>
        </w:rPr>
        <w:t xml:space="preserve">Sr = 0.1194 and </w:t>
      </w:r>
      <w:r w:rsidRPr="00FC299E">
        <w:rPr>
          <w:bCs/>
          <w:color w:val="000000" w:themeColor="text1"/>
          <w:vertAlign w:val="superscript"/>
          <w:lang w:val="en-GB"/>
        </w:rPr>
        <w:t>146</w:t>
      </w:r>
      <w:r w:rsidRPr="00FC299E">
        <w:rPr>
          <w:bCs/>
          <w:color w:val="000000" w:themeColor="text1"/>
          <w:lang w:val="en-GB"/>
        </w:rPr>
        <w:t>Nd/</w:t>
      </w:r>
      <w:r w:rsidRPr="00FC299E">
        <w:rPr>
          <w:bCs/>
          <w:color w:val="000000" w:themeColor="text1"/>
          <w:vertAlign w:val="superscript"/>
          <w:lang w:val="en-GB"/>
        </w:rPr>
        <w:t>144</w:t>
      </w:r>
      <w:r w:rsidRPr="00FC299E">
        <w:rPr>
          <w:bCs/>
          <w:color w:val="000000" w:themeColor="text1"/>
          <w:lang w:val="en-GB"/>
        </w:rPr>
        <w:t>Nd = 0.7219, respectively. Sr were separated using cation-exchange columns filled with DOWEX AG-50*8 (200-400 mesh) and Nd was concentrated using Ln-Spec resin.</w:t>
      </w:r>
    </w:p>
    <w:p w:rsidR="00CC7A96" w:rsidRPr="00097B93" w:rsidRDefault="00CC7A96" w:rsidP="00097B93">
      <w:pPr>
        <w:spacing w:line="480" w:lineRule="auto"/>
        <w:rPr>
          <w:b/>
          <w:lang w:val="en-US"/>
        </w:rPr>
      </w:pPr>
      <w:r w:rsidRPr="00CC7A96">
        <w:rPr>
          <w:b/>
          <w:lang w:val="en-US"/>
        </w:rPr>
        <w:t>References:</w:t>
      </w:r>
    </w:p>
    <w:p w:rsidR="00AB20E6" w:rsidRDefault="00AB20E6" w:rsidP="00AB20E6">
      <w:pPr>
        <w:spacing w:line="480" w:lineRule="auto"/>
        <w:rPr>
          <w:lang w:val="en-US"/>
        </w:rPr>
      </w:pPr>
      <w:r w:rsidRPr="00AB20E6">
        <w:rPr>
          <w:lang w:val="en-US"/>
        </w:rPr>
        <w:t>Ludwig</w:t>
      </w:r>
      <w:r>
        <w:rPr>
          <w:lang w:val="en-US"/>
        </w:rPr>
        <w:t xml:space="preserve">, K.R., 2009. </w:t>
      </w:r>
      <w:proofErr w:type="spellStart"/>
      <w:r w:rsidRPr="00AB20E6">
        <w:rPr>
          <w:lang w:val="en-US"/>
        </w:rPr>
        <w:t>Isoplot</w:t>
      </w:r>
      <w:proofErr w:type="spellEnd"/>
      <w:r w:rsidRPr="00AB20E6">
        <w:rPr>
          <w:lang w:val="en-US"/>
        </w:rPr>
        <w:t xml:space="preserve">: A Geochronological Tool Kit for Microsoft </w:t>
      </w:r>
      <w:proofErr w:type="spellStart"/>
      <w:r w:rsidRPr="00AB20E6">
        <w:rPr>
          <w:lang w:val="en-US"/>
        </w:rPr>
        <w:t>Excell</w:t>
      </w:r>
      <w:proofErr w:type="spellEnd"/>
      <w:r>
        <w:rPr>
          <w:lang w:val="en-US"/>
        </w:rPr>
        <w:t xml:space="preserve"> </w:t>
      </w:r>
      <w:r w:rsidRPr="00AB20E6">
        <w:rPr>
          <w:lang w:val="en-US"/>
        </w:rPr>
        <w:t>Berkeley Geochronology Center, Berkeley</w:t>
      </w:r>
      <w:r>
        <w:rPr>
          <w:lang w:val="en-US"/>
        </w:rPr>
        <w:t xml:space="preserve"> </w:t>
      </w:r>
      <w:r w:rsidRPr="00AB20E6">
        <w:rPr>
          <w:lang w:val="en-US"/>
        </w:rPr>
        <w:t>76 pp</w:t>
      </w:r>
      <w:r>
        <w:rPr>
          <w:lang w:val="en-US"/>
        </w:rPr>
        <w:t>.</w:t>
      </w:r>
      <w:bookmarkStart w:id="0" w:name="_GoBack"/>
      <w:bookmarkEnd w:id="0"/>
    </w:p>
    <w:p w:rsidR="007D011C" w:rsidRPr="00600635" w:rsidRDefault="00600635" w:rsidP="00097B93">
      <w:pPr>
        <w:spacing w:line="480" w:lineRule="auto"/>
        <w:rPr>
          <w:lang w:val="en-US"/>
        </w:rPr>
      </w:pPr>
      <w:r w:rsidRPr="00097B93">
        <w:rPr>
          <w:lang w:val="en-US"/>
        </w:rPr>
        <w:lastRenderedPageBreak/>
        <w:t xml:space="preserve">Sato, K., </w:t>
      </w:r>
      <w:proofErr w:type="spellStart"/>
      <w:r w:rsidRPr="00097B93">
        <w:rPr>
          <w:lang w:val="en-US"/>
        </w:rPr>
        <w:t>Tassinari</w:t>
      </w:r>
      <w:proofErr w:type="spellEnd"/>
      <w:r w:rsidRPr="00097B93">
        <w:rPr>
          <w:lang w:val="en-US"/>
        </w:rPr>
        <w:t xml:space="preserve">, C.C.G.T., </w:t>
      </w:r>
      <w:proofErr w:type="spellStart"/>
      <w:r w:rsidRPr="00097B93">
        <w:rPr>
          <w:lang w:val="en-US"/>
        </w:rPr>
        <w:t>Basei</w:t>
      </w:r>
      <w:proofErr w:type="spellEnd"/>
      <w:r w:rsidRPr="00097B93">
        <w:rPr>
          <w:lang w:val="en-US"/>
        </w:rPr>
        <w:t xml:space="preserve">, M.A.S., </w:t>
      </w:r>
      <w:proofErr w:type="spellStart"/>
      <w:r w:rsidRPr="00097B93">
        <w:rPr>
          <w:lang w:val="en-US"/>
        </w:rPr>
        <w:t>Siga</w:t>
      </w:r>
      <w:proofErr w:type="spellEnd"/>
      <w:r w:rsidRPr="00097B93">
        <w:rPr>
          <w:lang w:val="en-US"/>
        </w:rPr>
        <w:t xml:space="preserve"> Júnior, O.,</w:t>
      </w:r>
      <w:r w:rsidRPr="00097B93">
        <w:rPr>
          <w:lang w:val="en-US"/>
        </w:rPr>
        <w:t xml:space="preserve"> </w:t>
      </w:r>
      <w:proofErr w:type="spellStart"/>
      <w:r w:rsidRPr="00097B93">
        <w:rPr>
          <w:lang w:val="en-US"/>
        </w:rPr>
        <w:t>Onoe</w:t>
      </w:r>
      <w:proofErr w:type="spellEnd"/>
      <w:r w:rsidRPr="00097B93">
        <w:rPr>
          <w:lang w:val="en-US"/>
        </w:rPr>
        <w:t>, A.T.</w:t>
      </w:r>
      <w:r w:rsidRPr="00097B93">
        <w:rPr>
          <w:lang w:val="en-US"/>
        </w:rPr>
        <w:t xml:space="preserve"> &amp;</w:t>
      </w:r>
      <w:r w:rsidRPr="00097B93">
        <w:rPr>
          <w:lang w:val="en-US"/>
        </w:rPr>
        <w:t xml:space="preserve"> de Souza, M.D.</w:t>
      </w:r>
      <w:r w:rsidRPr="00097B93">
        <w:rPr>
          <w:lang w:val="en-US"/>
        </w:rPr>
        <w:t>,</w:t>
      </w:r>
      <w:r w:rsidRPr="00097B93">
        <w:rPr>
          <w:lang w:val="en-US"/>
        </w:rPr>
        <w:t xml:space="preserve"> 2014. </w:t>
      </w:r>
      <w:r w:rsidRPr="00600635">
        <w:rPr>
          <w:lang w:val="en-US"/>
        </w:rPr>
        <w:t>Sensitive high resolution,</w:t>
      </w:r>
      <w:r>
        <w:rPr>
          <w:lang w:val="en-US"/>
        </w:rPr>
        <w:t xml:space="preserve"> i</w:t>
      </w:r>
      <w:r w:rsidRPr="00600635">
        <w:rPr>
          <w:lang w:val="en-US"/>
        </w:rPr>
        <w:t xml:space="preserve">on microprobe (SHRIMP </w:t>
      </w:r>
      <w:proofErr w:type="spellStart"/>
      <w:r w:rsidRPr="00600635">
        <w:rPr>
          <w:lang w:val="en-US"/>
        </w:rPr>
        <w:t>IIe</w:t>
      </w:r>
      <w:proofErr w:type="spellEnd"/>
      <w:r w:rsidRPr="00600635">
        <w:rPr>
          <w:lang w:val="en-US"/>
        </w:rPr>
        <w:t>/MC) of the Institute of Geoscience</w:t>
      </w:r>
      <w:r>
        <w:rPr>
          <w:lang w:val="en-US"/>
        </w:rPr>
        <w:t xml:space="preserve"> </w:t>
      </w:r>
      <w:r w:rsidRPr="00600635">
        <w:rPr>
          <w:lang w:val="en-US"/>
        </w:rPr>
        <w:t>of University of São Paulo, Brazil: analytical method and first</w:t>
      </w:r>
      <w:r>
        <w:rPr>
          <w:lang w:val="en-US"/>
        </w:rPr>
        <w:t xml:space="preserve"> </w:t>
      </w:r>
      <w:r w:rsidRPr="00600635">
        <w:rPr>
          <w:lang w:val="en-US"/>
        </w:rPr>
        <w:t xml:space="preserve">results. </w:t>
      </w:r>
      <w:proofErr w:type="spellStart"/>
      <w:r w:rsidRPr="00600635">
        <w:rPr>
          <w:lang w:val="es-ES"/>
        </w:rPr>
        <w:t>Geologia</w:t>
      </w:r>
      <w:proofErr w:type="spellEnd"/>
      <w:r w:rsidRPr="00600635">
        <w:rPr>
          <w:lang w:val="es-ES"/>
        </w:rPr>
        <w:t xml:space="preserve"> USP, </w:t>
      </w:r>
      <w:proofErr w:type="spellStart"/>
      <w:r w:rsidRPr="00600635">
        <w:rPr>
          <w:lang w:val="es-ES"/>
        </w:rPr>
        <w:t>série</w:t>
      </w:r>
      <w:proofErr w:type="spellEnd"/>
      <w:r w:rsidRPr="00600635">
        <w:rPr>
          <w:lang w:val="es-ES"/>
        </w:rPr>
        <w:t xml:space="preserve"> científica, 14(3), 3</w:t>
      </w:r>
      <w:r w:rsidRPr="00C87E0A">
        <w:rPr>
          <w:bCs/>
          <w:color w:val="000000" w:themeColor="text1"/>
          <w:lang w:val="en-GB"/>
        </w:rPr>
        <w:t>–</w:t>
      </w:r>
      <w:r w:rsidRPr="00600635">
        <w:rPr>
          <w:lang w:val="es-ES"/>
        </w:rPr>
        <w:t>18.</w:t>
      </w:r>
    </w:p>
    <w:p w:rsidR="00CC7A96" w:rsidRPr="00FC299E" w:rsidRDefault="005119BB" w:rsidP="00097B93">
      <w:pPr>
        <w:spacing w:line="480" w:lineRule="auto"/>
        <w:rPr>
          <w:lang w:val="en-US"/>
        </w:rPr>
      </w:pPr>
      <w:r w:rsidRPr="005119BB">
        <w:rPr>
          <w:lang w:val="en-US"/>
        </w:rPr>
        <w:t>Stacey</w:t>
      </w:r>
      <w:r>
        <w:rPr>
          <w:lang w:val="en-US"/>
        </w:rPr>
        <w:t>,</w:t>
      </w:r>
      <w:r w:rsidRPr="005119BB">
        <w:rPr>
          <w:lang w:val="en-US"/>
        </w:rPr>
        <w:t xml:space="preserve"> J.S. </w:t>
      </w:r>
      <w:r>
        <w:rPr>
          <w:lang w:val="en-US"/>
        </w:rPr>
        <w:t>&amp;</w:t>
      </w:r>
      <w:r w:rsidRPr="005119BB">
        <w:rPr>
          <w:lang w:val="en-US"/>
        </w:rPr>
        <w:t xml:space="preserve"> </w:t>
      </w:r>
      <w:proofErr w:type="spellStart"/>
      <w:r w:rsidRPr="005119BB">
        <w:rPr>
          <w:lang w:val="en-US"/>
        </w:rPr>
        <w:t>Kramers</w:t>
      </w:r>
      <w:proofErr w:type="spellEnd"/>
      <w:r w:rsidRPr="005119BB">
        <w:rPr>
          <w:lang w:val="en-US"/>
        </w:rPr>
        <w:t xml:space="preserve">, J.D., 1975. </w:t>
      </w:r>
      <w:r>
        <w:rPr>
          <w:lang w:val="en-US"/>
        </w:rPr>
        <w:t>A</w:t>
      </w:r>
      <w:r w:rsidRPr="005119BB">
        <w:rPr>
          <w:lang w:val="en-US"/>
        </w:rPr>
        <w:t>pproximation of terrestrial</w:t>
      </w:r>
      <w:r>
        <w:rPr>
          <w:lang w:val="en-US"/>
        </w:rPr>
        <w:t xml:space="preserve"> </w:t>
      </w:r>
      <w:r w:rsidRPr="005119BB">
        <w:rPr>
          <w:lang w:val="en-US"/>
        </w:rPr>
        <w:t>lead isotope evolution by two stage model. Earth</w:t>
      </w:r>
      <w:r>
        <w:rPr>
          <w:lang w:val="en-US"/>
        </w:rPr>
        <w:t xml:space="preserve"> and </w:t>
      </w:r>
      <w:r w:rsidRPr="005119BB">
        <w:rPr>
          <w:lang w:val="en-US"/>
        </w:rPr>
        <w:t>Planet</w:t>
      </w:r>
      <w:r>
        <w:rPr>
          <w:lang w:val="en-US"/>
        </w:rPr>
        <w:t>ary</w:t>
      </w:r>
      <w:r w:rsidRPr="005119BB">
        <w:rPr>
          <w:lang w:val="en-US"/>
        </w:rPr>
        <w:t xml:space="preserve"> Sci</w:t>
      </w:r>
      <w:r>
        <w:rPr>
          <w:lang w:val="en-US"/>
        </w:rPr>
        <w:t>ence</w:t>
      </w:r>
      <w:r w:rsidRPr="005119BB">
        <w:rPr>
          <w:lang w:val="en-US"/>
        </w:rPr>
        <w:t xml:space="preserve"> L</w:t>
      </w:r>
      <w:r>
        <w:rPr>
          <w:lang w:val="en-US"/>
        </w:rPr>
        <w:t>e</w:t>
      </w:r>
      <w:r w:rsidRPr="005119BB">
        <w:rPr>
          <w:lang w:val="en-US"/>
        </w:rPr>
        <w:t>tt</w:t>
      </w:r>
      <w:r>
        <w:rPr>
          <w:lang w:val="en-US"/>
        </w:rPr>
        <w:t>ers</w:t>
      </w:r>
      <w:r w:rsidRPr="005119BB">
        <w:rPr>
          <w:lang w:val="en-US"/>
        </w:rPr>
        <w:t xml:space="preserve"> 26</w:t>
      </w:r>
      <w:r>
        <w:rPr>
          <w:lang w:val="en-US"/>
        </w:rPr>
        <w:t>,</w:t>
      </w:r>
      <w:r w:rsidRPr="005119BB">
        <w:rPr>
          <w:lang w:val="en-US"/>
        </w:rPr>
        <w:t xml:space="preserve"> 207</w:t>
      </w:r>
      <w:r w:rsidRPr="00C87E0A">
        <w:rPr>
          <w:bCs/>
          <w:color w:val="000000" w:themeColor="text1"/>
          <w:lang w:val="en-GB"/>
        </w:rPr>
        <w:t>–</w:t>
      </w:r>
      <w:r w:rsidRPr="005119BB">
        <w:rPr>
          <w:lang w:val="en-US"/>
        </w:rPr>
        <w:t>2</w:t>
      </w:r>
      <w:r>
        <w:rPr>
          <w:lang w:val="en-US"/>
        </w:rPr>
        <w:t>11</w:t>
      </w:r>
      <w:r w:rsidRPr="005119BB">
        <w:rPr>
          <w:lang w:val="en-US"/>
        </w:rPr>
        <w:t>.</w:t>
      </w:r>
    </w:p>
    <w:sectPr w:rsidR="00CC7A96" w:rsidRPr="00FC299E" w:rsidSect="002D2F6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99E"/>
    <w:rsid w:val="0006677C"/>
    <w:rsid w:val="00097B93"/>
    <w:rsid w:val="00174B73"/>
    <w:rsid w:val="001A7EF3"/>
    <w:rsid w:val="002D2F63"/>
    <w:rsid w:val="005119BB"/>
    <w:rsid w:val="00600635"/>
    <w:rsid w:val="00636E2C"/>
    <w:rsid w:val="007D011C"/>
    <w:rsid w:val="0098762D"/>
    <w:rsid w:val="00AB20E6"/>
    <w:rsid w:val="00AE65FA"/>
    <w:rsid w:val="00AF4A64"/>
    <w:rsid w:val="00CC7A96"/>
    <w:rsid w:val="00D5419A"/>
    <w:rsid w:val="00E9438A"/>
    <w:rsid w:val="00FC29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7334"/>
  <w15:docId w15:val="{EFBF339C-8C59-354A-A861-600045E1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2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melab.com/wp-content/uploads/2009/03/BVM_2018-Fee-Schedule_USD_v2_20Sep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Moreno</dc:creator>
  <cp:lastModifiedBy>Juan Antonio Moreno</cp:lastModifiedBy>
  <cp:revision>12</cp:revision>
  <dcterms:created xsi:type="dcterms:W3CDTF">2019-08-13T18:14:00Z</dcterms:created>
  <dcterms:modified xsi:type="dcterms:W3CDTF">2019-08-27T17:01:00Z</dcterms:modified>
</cp:coreProperties>
</file>