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7D" w:rsidRPr="00CA437D" w:rsidRDefault="00CA437D" w:rsidP="00CA437D">
      <w:pPr>
        <w:spacing w:after="0"/>
        <w:rPr>
          <w:rFonts w:cstheme="minorHAnsi"/>
          <w:sz w:val="20"/>
          <w:szCs w:val="20"/>
        </w:rPr>
      </w:pPr>
      <w:r>
        <w:rPr>
          <w:rFonts w:cstheme="minorHAnsi"/>
          <w:b/>
          <w:sz w:val="20"/>
          <w:szCs w:val="20"/>
        </w:rPr>
        <w:t>Appendix 4</w:t>
      </w:r>
      <w:r w:rsidRPr="00CA437D">
        <w:rPr>
          <w:rFonts w:cstheme="minorHAnsi"/>
          <w:b/>
          <w:sz w:val="20"/>
          <w:szCs w:val="20"/>
        </w:rPr>
        <w:t>.</w:t>
      </w:r>
      <w:r w:rsidRPr="00CA437D">
        <w:rPr>
          <w:rFonts w:cstheme="minorHAnsi"/>
          <w:sz w:val="20"/>
          <w:szCs w:val="20"/>
        </w:rPr>
        <w:t xml:space="preserve"> Th</w:t>
      </w:r>
      <w:r w:rsidR="00E765F3">
        <w:rPr>
          <w:rFonts w:cstheme="minorHAnsi"/>
          <w:sz w:val="20"/>
          <w:szCs w:val="20"/>
        </w:rPr>
        <w:t>ermal history model input table</w:t>
      </w:r>
    </w:p>
    <w:tbl>
      <w:tblPr>
        <w:tblStyle w:val="Tabelraster"/>
        <w:tblW w:w="13040" w:type="dxa"/>
        <w:tblLook w:val="04A0" w:firstRow="1" w:lastRow="0" w:firstColumn="1" w:lastColumn="0" w:noHBand="0" w:noVBand="1"/>
      </w:tblPr>
      <w:tblGrid>
        <w:gridCol w:w="5238"/>
        <w:gridCol w:w="4960"/>
        <w:gridCol w:w="2842"/>
      </w:tblGrid>
      <w:tr w:rsidR="00CA437D" w:rsidRPr="00CA437D" w:rsidTr="0052552C">
        <w:tc>
          <w:tcPr>
            <w:tcW w:w="13040" w:type="dxa"/>
            <w:gridSpan w:val="3"/>
          </w:tcPr>
          <w:p w:rsidR="00CA437D" w:rsidRPr="00CA437D" w:rsidRDefault="00CA437D" w:rsidP="00CA437D">
            <w:pPr>
              <w:pStyle w:val="Lijstalinea"/>
              <w:numPr>
                <w:ilvl w:val="0"/>
                <w:numId w:val="1"/>
              </w:numPr>
              <w:spacing w:after="0" w:line="240" w:lineRule="auto"/>
              <w:rPr>
                <w:rFonts w:cstheme="minorHAnsi"/>
                <w:b/>
                <w:sz w:val="20"/>
                <w:szCs w:val="20"/>
              </w:rPr>
            </w:pPr>
            <w:r w:rsidRPr="00CA437D">
              <w:rPr>
                <w:rFonts w:cstheme="minorHAnsi"/>
                <w:b/>
                <w:sz w:val="20"/>
                <w:szCs w:val="20"/>
              </w:rPr>
              <w:t>Thermochronologic data</w:t>
            </w:r>
            <w:r w:rsidRPr="00CA437D">
              <w:rPr>
                <w:rFonts w:cstheme="minorHAnsi"/>
                <w:b/>
                <w:sz w:val="20"/>
                <w:szCs w:val="20"/>
              </w:rPr>
              <w:br/>
              <w:t>Samples and data used in simulations</w:t>
            </w:r>
          </w:p>
        </w:tc>
      </w:tr>
      <w:tr w:rsidR="00CA437D" w:rsidRPr="00CA437D" w:rsidTr="0052552C">
        <w:tc>
          <w:tcPr>
            <w:tcW w:w="5238" w:type="dxa"/>
          </w:tcPr>
          <w:p w:rsidR="00CA437D" w:rsidRPr="00CA437D" w:rsidRDefault="00CA437D" w:rsidP="00CA437D">
            <w:pPr>
              <w:spacing w:after="0"/>
              <w:rPr>
                <w:rFonts w:cstheme="minorHAnsi"/>
                <w:sz w:val="20"/>
                <w:szCs w:val="20"/>
              </w:rPr>
            </w:pP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Used for modelling?</w:t>
            </w:r>
          </w:p>
        </w:tc>
        <w:tc>
          <w:tcPr>
            <w:tcW w:w="2842" w:type="dxa"/>
          </w:tcPr>
          <w:p w:rsidR="00CA437D" w:rsidRPr="00CA437D" w:rsidRDefault="00CA437D" w:rsidP="00CA437D">
            <w:pPr>
              <w:spacing w:after="0"/>
              <w:rPr>
                <w:rFonts w:cstheme="minorHAnsi"/>
                <w:sz w:val="20"/>
                <w:szCs w:val="20"/>
              </w:rPr>
            </w:pPr>
            <w:r w:rsidRPr="00CA437D">
              <w:rPr>
                <w:rFonts w:cstheme="minorHAnsi"/>
                <w:sz w:val="20"/>
                <w:szCs w:val="20"/>
              </w:rPr>
              <w:t>All data used for modelling published?</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(U-Th)/He data</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Not used for modelling (no appropriate geometry setting available for all crystals)</w:t>
            </w:r>
          </w:p>
        </w:tc>
        <w:tc>
          <w:tcPr>
            <w:tcW w:w="2842" w:type="dxa"/>
          </w:tcPr>
          <w:p w:rsidR="00CA437D" w:rsidRPr="00CA437D" w:rsidRDefault="00CA437D" w:rsidP="00CA437D">
            <w:pPr>
              <w:spacing w:after="0"/>
              <w:rPr>
                <w:rFonts w:cstheme="minorHAnsi"/>
                <w:sz w:val="20"/>
                <w:szCs w:val="20"/>
              </w:rPr>
            </w:pPr>
            <w:r w:rsidRPr="00CA437D">
              <w:rPr>
                <w:rFonts w:cstheme="minorHAnsi"/>
                <w:sz w:val="20"/>
                <w:szCs w:val="20"/>
              </w:rPr>
              <w:t>Table 3 and 4 (this paper)</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AFT data</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Yes</w:t>
            </w:r>
          </w:p>
        </w:tc>
        <w:tc>
          <w:tcPr>
            <w:tcW w:w="2842" w:type="dxa"/>
          </w:tcPr>
          <w:p w:rsidR="00CA437D" w:rsidRPr="00CA437D" w:rsidRDefault="00CA437D" w:rsidP="00CA437D">
            <w:pPr>
              <w:spacing w:after="0"/>
              <w:rPr>
                <w:rFonts w:cstheme="minorHAnsi"/>
                <w:sz w:val="20"/>
                <w:szCs w:val="20"/>
              </w:rPr>
            </w:pPr>
            <w:r w:rsidRPr="00CA437D">
              <w:rPr>
                <w:rFonts w:cstheme="minorHAnsi"/>
                <w:sz w:val="20"/>
                <w:szCs w:val="20"/>
              </w:rPr>
              <w:t>Appendix 2</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Track length data</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Yes</w:t>
            </w:r>
          </w:p>
        </w:tc>
        <w:tc>
          <w:tcPr>
            <w:tcW w:w="2842" w:type="dxa"/>
          </w:tcPr>
          <w:p w:rsidR="00CA437D" w:rsidRPr="00CA437D" w:rsidRDefault="00CA437D" w:rsidP="00CA437D">
            <w:pPr>
              <w:spacing w:after="0"/>
              <w:rPr>
                <w:rFonts w:cstheme="minorHAnsi"/>
                <w:sz w:val="20"/>
                <w:szCs w:val="20"/>
              </w:rPr>
            </w:pPr>
            <w:r w:rsidRPr="00CA437D">
              <w:rPr>
                <w:rFonts w:cstheme="minorHAnsi"/>
                <w:sz w:val="20"/>
                <w:szCs w:val="20"/>
              </w:rPr>
              <w:t>Appendix 2</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Kinetic parameter: Dpar (4 manual measurements/grain)</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Yes</w:t>
            </w:r>
          </w:p>
        </w:tc>
        <w:tc>
          <w:tcPr>
            <w:tcW w:w="2842" w:type="dxa"/>
          </w:tcPr>
          <w:p w:rsidR="00CA437D" w:rsidRPr="00CA437D" w:rsidRDefault="00CA437D" w:rsidP="00CA437D">
            <w:pPr>
              <w:spacing w:after="0"/>
              <w:rPr>
                <w:rFonts w:cstheme="minorHAnsi"/>
                <w:sz w:val="20"/>
                <w:szCs w:val="20"/>
              </w:rPr>
            </w:pPr>
            <w:r w:rsidRPr="00CA437D">
              <w:rPr>
                <w:rFonts w:cstheme="minorHAnsi"/>
                <w:sz w:val="20"/>
                <w:szCs w:val="20"/>
              </w:rPr>
              <w:t>Appendix 2</w:t>
            </w:r>
          </w:p>
        </w:tc>
      </w:tr>
      <w:tr w:rsidR="00CA437D" w:rsidRPr="00CA437D" w:rsidTr="0052552C">
        <w:tc>
          <w:tcPr>
            <w:tcW w:w="5238" w:type="dxa"/>
          </w:tcPr>
          <w:p w:rsidR="00CA437D" w:rsidRPr="00CA437D" w:rsidRDefault="00CA437D" w:rsidP="00CA437D">
            <w:pPr>
              <w:spacing w:after="0"/>
              <w:ind w:left="720"/>
              <w:rPr>
                <w:rFonts w:cstheme="minorHAnsi"/>
                <w:b/>
                <w:sz w:val="20"/>
                <w:szCs w:val="20"/>
              </w:rPr>
            </w:pPr>
            <w:r w:rsidRPr="00CA437D">
              <w:rPr>
                <w:rFonts w:cstheme="minorHAnsi"/>
                <w:b/>
                <w:sz w:val="20"/>
                <w:szCs w:val="20"/>
              </w:rPr>
              <w:t>Data treatment</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Details</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i/>
                <w:sz w:val="20"/>
                <w:szCs w:val="20"/>
              </w:rPr>
            </w:pPr>
            <w:r w:rsidRPr="00CA437D">
              <w:rPr>
                <w:rFonts w:cstheme="minorHAnsi"/>
                <w:i/>
                <w:sz w:val="20"/>
                <w:szCs w:val="20"/>
              </w:rPr>
              <w:t>AHe data</w:t>
            </w:r>
          </w:p>
        </w:tc>
        <w:tc>
          <w:tcPr>
            <w:tcW w:w="4960" w:type="dxa"/>
          </w:tcPr>
          <w:p w:rsidR="00CA437D" w:rsidRPr="00CA437D" w:rsidRDefault="00CA437D" w:rsidP="00CA437D">
            <w:pPr>
              <w:spacing w:after="0"/>
              <w:rPr>
                <w:rFonts w:cstheme="minorHAnsi"/>
                <w:sz w:val="20"/>
                <w:szCs w:val="20"/>
              </w:rPr>
            </w:pP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Standards used during analysis</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Durango apatite standard bracketing</w:t>
            </w:r>
          </w:p>
        </w:tc>
        <w:tc>
          <w:tcPr>
            <w:tcW w:w="2842" w:type="dxa"/>
          </w:tcPr>
          <w:p w:rsidR="00CA437D" w:rsidRPr="00CA437D" w:rsidRDefault="00CA437D" w:rsidP="00C24453">
            <w:pPr>
              <w:spacing w:after="0"/>
              <w:rPr>
                <w:rFonts w:cstheme="minorHAnsi"/>
                <w:sz w:val="20"/>
                <w:szCs w:val="20"/>
              </w:rPr>
            </w:pPr>
            <w:r w:rsidRPr="00CA437D">
              <w:rPr>
                <w:rFonts w:cstheme="minorHAnsi"/>
                <w:sz w:val="20"/>
                <w:szCs w:val="20"/>
              </w:rPr>
              <w:t xml:space="preserve">Protocol: see methods and Appendix 1 of </w:t>
            </w:r>
            <w:r w:rsidR="00C24453">
              <w:rPr>
                <w:rFonts w:cstheme="minorHAnsi"/>
                <w:sz w:val="20"/>
                <w:szCs w:val="20"/>
              </w:rPr>
              <w:fldChar w:fldCharType="begin" w:fldLock="1"/>
            </w:r>
            <w:r w:rsidR="00C24453">
              <w:rPr>
                <w:rFonts w:cstheme="minorHAnsi"/>
                <w:sz w:val="20"/>
                <w:szCs w:val="20"/>
              </w:rPr>
              <w:instrText>ADDIN CSL_CITATION {"citationItems":[{"id":"ITEM-1","itemData":{"DOI":"10.1002/2016JB013478","ISBN":"2169-9356","ISSN":"21699356","abstract":"©2017. American Geophysical Union. All Rights Reserved.The timing and mechanisms involved in creating the elevated, low-relief topography of the South African plateau remain unresolved. Here we constrain the thermal history of the Southwest African plateau since 300 Ma by using apatite fission track (AFT) and (U-Th-Sm)/He (AHe) thermochronology. Archean rocks from the center of the Kaapvaal Craton yield AFT ages of 331.0 ± 11.0 and 379.0 ± 23.0 Ma and mean track lengths (MTLs) of 11.9 ± 0.2 and 12.5 ± 0.3 µm. Toward the southwest margin of the craton and in the adjacent Paleozoic mobile belt, AFT ages are significantly younger and range from 58.9 ± 5.9 to 128.7 ± 6.3 Ma and have longer MTLs (&gt;13 µm). The range of sample AHe ages complements the AFT ages, and single-grain AHe ages for most samples are highly dispersed. Results from joint inverse modeling of these data reveal that the center of the craton has resided at near-surface temperatures (&lt;60°C) since 300 Ma, whereas the margins of the craton and the off-craton mobile belt experienced two discrete episodes of cooling during the Cretaceous. An Early Cretaceous cooling episode is ascribed to regional denudation following continental breakup. Late Cretaceous cooling occurs regionally but is locally variable and may be a result of a complex interaction between mantle-driven uplift and the tectonic setting of the craton margin. Across the entire plateau, samples are predicted to have remained at near-surface temperatures throughout the Cenozoic, suggesting minimal denudation (&lt;1 km) and relative tectonic stability of the plateau.","author":[{"dropping-particle":"","family":"Wildman","given":"Mark","non-dropping-particle":"","parse-names":false,"suffix":""},{"dropping-particle":"","family":"Brown","given":"Roderick","non-dropping-particle":"","parse-names":false,"suffix":""},{"dropping-particle":"","family":"Persano","given":"Cristina","non-dropping-particle":"","parse-names":false,"suffix":""},{"dropping-particle":"","family":"Beucher","given":"Romain","non-dropping-particle":"","parse-names":false,"suffix":""},{"dropping-particle":"","family":"Stuart","given":"Finlay M.","non-dropping-particle":"","parse-names":false,"suffix":""},{"dropping-particle":"","family":"Mackintosh","given":"Vhairi","non-dropping-particle":"","parse-names":false,"suffix":""},{"dropping-particle":"","family":"Gallagher","given":"Kerry","non-dropping-particle":"","parse-names":false,"suffix":""},{"dropping-particle":"","family":"Schwanethal","given":"James","non-dropping-particle":"","parse-names":false,"suffix":""},{"dropping-particle":"","family":"Carter","given":"Andrew","non-dropping-particle":"","parse-names":false,"suffix":""}],"container-title":"Journal of Geophysical Research: Solid Earth","id":"ITEM-1","issue":"2","issued":{"date-parts":[["2017"]]},"page":"1517-1547","title":"Contrasting Mesozoic evolution across the boundary between on and off craton regions of the South African plateau inferred from apatite fission track and (U-Th-Sm)/He thermochronology","type":"article-journal","volume":"122"},"uris":["http://www.mendeley.com/documents/?uuid=f6443aca-c4b6-44ea-8921-e7d0cc7bb1b6"]}],"mendeley":{"formattedCitation":"(Wildman &lt;i&gt;et al.&lt;/i&gt; 2017)","manualFormatting":"Wildman et al. (2017)","plainTextFormattedCitation":"(Wildman et al. 2017)"},"properties":{"noteIndex":0},"schema":"https://github.com/citation-style-language/schema/raw/master/csl-citation.json"}</w:instrText>
            </w:r>
            <w:r w:rsidR="00C24453">
              <w:rPr>
                <w:rFonts w:cstheme="minorHAnsi"/>
                <w:sz w:val="20"/>
                <w:szCs w:val="20"/>
              </w:rPr>
              <w:fldChar w:fldCharType="separate"/>
            </w:r>
            <w:r w:rsidR="00C24453" w:rsidRPr="00C24453">
              <w:rPr>
                <w:rFonts w:cstheme="minorHAnsi"/>
                <w:noProof/>
                <w:sz w:val="20"/>
                <w:szCs w:val="20"/>
              </w:rPr>
              <w:t xml:space="preserve">Wildman </w:t>
            </w:r>
            <w:r w:rsidR="00C24453" w:rsidRPr="00C24453">
              <w:rPr>
                <w:rFonts w:cstheme="minorHAnsi"/>
                <w:i/>
                <w:noProof/>
                <w:sz w:val="20"/>
                <w:szCs w:val="20"/>
              </w:rPr>
              <w:t>et al.</w:t>
            </w:r>
            <w:r w:rsidR="00C24453" w:rsidRPr="00C24453">
              <w:rPr>
                <w:rFonts w:cstheme="minorHAnsi"/>
                <w:noProof/>
                <w:sz w:val="20"/>
                <w:szCs w:val="20"/>
              </w:rPr>
              <w:t xml:space="preserve"> </w:t>
            </w:r>
            <w:r w:rsidR="00C24453">
              <w:rPr>
                <w:rFonts w:cstheme="minorHAnsi"/>
                <w:noProof/>
                <w:sz w:val="20"/>
                <w:szCs w:val="20"/>
              </w:rPr>
              <w:t>(</w:t>
            </w:r>
            <w:r w:rsidR="00C24453" w:rsidRPr="00C24453">
              <w:rPr>
                <w:rFonts w:cstheme="minorHAnsi"/>
                <w:noProof/>
                <w:sz w:val="20"/>
                <w:szCs w:val="20"/>
              </w:rPr>
              <w:t>2017)</w:t>
            </w:r>
            <w:r w:rsidR="00C24453">
              <w:rPr>
                <w:rFonts w:cstheme="minorHAnsi"/>
                <w:sz w:val="20"/>
                <w:szCs w:val="20"/>
              </w:rPr>
              <w:fldChar w:fldCharType="end"/>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AHe data reduction</w:t>
            </w:r>
            <w:r w:rsidRPr="00CA437D">
              <w:rPr>
                <w:sz w:val="20"/>
                <w:szCs w:val="20"/>
              </w:rPr>
              <w:br/>
            </w:r>
          </w:p>
        </w:tc>
        <w:tc>
          <w:tcPr>
            <w:tcW w:w="4960" w:type="dxa"/>
          </w:tcPr>
          <w:p w:rsidR="00CA437D" w:rsidRPr="00CA437D" w:rsidRDefault="00CA437D" w:rsidP="00CA437D">
            <w:pPr>
              <w:spacing w:after="0"/>
              <w:rPr>
                <w:sz w:val="20"/>
                <w:szCs w:val="20"/>
              </w:rPr>
            </w:pPr>
            <w:r w:rsidRPr="00CA437D">
              <w:rPr>
                <w:rFonts w:cstheme="minorHAnsi"/>
                <w:sz w:val="20"/>
                <w:szCs w:val="20"/>
              </w:rPr>
              <w:t>F</w:t>
            </w:r>
            <w:r w:rsidRPr="00CA437D">
              <w:rPr>
                <w:rFonts w:cstheme="minorHAnsi"/>
                <w:sz w:val="20"/>
                <w:szCs w:val="20"/>
                <w:vertAlign w:val="subscript"/>
              </w:rPr>
              <w:t>T</w:t>
            </w:r>
            <w:r w:rsidRPr="00CA437D">
              <w:rPr>
                <w:rFonts w:cstheme="minorHAnsi"/>
                <w:sz w:val="20"/>
                <w:szCs w:val="20"/>
              </w:rPr>
              <w:t xml:space="preserve"> correction factors calculated based on the geometry of each single crystal using using HelioCalc (</w:t>
            </w:r>
            <w:hyperlink r:id="rId8" w:tgtFrame="_blank" w:history="1">
              <w:r w:rsidRPr="00CA437D">
                <w:rPr>
                  <w:rStyle w:val="Hyperlink"/>
                  <w:rFonts w:ascii="Segoe UI" w:hAnsi="Segoe UI" w:cs="Segoe UI"/>
                  <w:sz w:val="20"/>
                  <w:szCs w:val="20"/>
                  <w:shd w:val="clear" w:color="auto" w:fill="FFFFFF"/>
                </w:rPr>
                <w:t>https://www.ucl.ac.uk/~ucfbpve/heliocalc/</w:t>
              </w:r>
            </w:hyperlink>
            <w:r w:rsidRPr="00CA437D">
              <w:rPr>
                <w:sz w:val="20"/>
                <w:szCs w:val="20"/>
              </w:rPr>
              <w:t xml:space="preserve">) designed by P. Vermeesch using the model of </w:t>
            </w:r>
            <w:r w:rsidR="00C24453">
              <w:rPr>
                <w:sz w:val="20"/>
                <w:szCs w:val="20"/>
              </w:rPr>
              <w:fldChar w:fldCharType="begin" w:fldLock="1"/>
            </w:r>
            <w:r w:rsidR="00C24453">
              <w:rPr>
                <w:sz w:val="20"/>
                <w:szCs w:val="20"/>
              </w:rPr>
              <w:instrText xml:space="preserve">ADDIN CSL_CITATION {"citationItems":[{"id":"ITEM-1","itemData":{"DOI":"10.1016/j.gca.2011.10.011","ISBN":"0016-7037","ISSN":"00167037","abstract":"This contribution proposes a number of methodological refinements for accounting for ejection of energetic particles, most particularly in the case of long alpha-particle stopping distance effects in (U-Th-Sm)/He thermochronometry. Recent stopping-distance estimates for minerals commonly used for thermochronometry are up to 1.5μm shorter than previously thought, which directly affects the magnitude of the ejection correction parameter FT. The revision in stopping distances necessitates re-fitting the empirical polynomials that have been used to calculate FTcorrections for various crystal forms. Reformulation and re-parameterization of these polynomials enables them to account for present and any future change in stopping distances without needing to be recalibrated. The library of shapes described with these polynomials to accommodate habits is expanded for all crystal systems and also ellipsoids, thus covering all minerals currently used and under development for (U-Th-Sm)/He thermochronometry. In addition, the inaccuracy caused by characterizing a set of alpha particles from a decay chain with a single mean stopping distance is examined, and a simple method for compensation is recommended. A new method of using FTparameters to calculate corrected ages by applying them to parents instead of daughters or age is presented, which maximizes accuracy for old specimens such as meteorites. Altogether, the refinements proposed will affect (U-Th-Sm)/He ages by </w:instrText>
            </w:r>
            <w:r w:rsidR="00C24453">
              <w:rPr>
                <w:rFonts w:ascii="Cambria Math" w:hAnsi="Cambria Math" w:cs="Cambria Math"/>
                <w:sz w:val="20"/>
                <w:szCs w:val="20"/>
              </w:rPr>
              <w:instrText>∼</w:instrText>
            </w:r>
            <w:r w:rsidR="00C24453">
              <w:rPr>
                <w:sz w:val="20"/>
                <w:szCs w:val="20"/>
              </w:rPr>
              <w:instrText>1-5%, depending on size and age. Finally, the concept of an FT-equivalent sphere is introduced as a sphere with the same effective FTvalue as a given mineral grain. Testing indicates that the FT-equivalent sphere is of comparable or superior accuracy to a sphere of the same surface to volume ratio for diffusion modeling. This finding greatly facilitates utilization of (U-Th-Sm)/He data from standard data tables for forward and inverse modeling. © 2011 Elsevier Ltd.","author":[{"dropping-particle":"","family":"Ketcham","given":"Richard A.","non-dropping-particle":"","parse-names":false,"suffix":""},{"dropping-particle":"","family":"Gautheron","given":"Cécile","non-dropping-particle":"","parse-names":false,"suffix":""},{"dropping-particle":"","family":"Tassan-Got","given":"Laurent","non-dropping-particle":"","parse-names":false,"suffix":""}],"container-title":"Geochimica et Cosmochimica Acta","id":"ITEM-1","issue":"24","issued":{"date-parts":[["2011"]]},"page":"7779-7791","title":"Accounting for long alpha-particle stopping distances in (U-Th-Sm)/He geochronology: Refinement of the baseline case","type":"article-journal","volume":"75"},"uris":["http://www.mendeley.com/documents/?uuid=1911846d-7c5f-4ca1-8f53-8d9ce401e8a7"]}],"mendeley":{"formattedCitation":"(Ketcham &lt;i&gt;et al.&lt;/i&gt; 2011)","manualFormatting":"Ketcham et al. (2011)","plainTextFormattedCitation":"(Ketcham et al. 2011)","previouslyFormattedCitation":"(Ketcham &lt;i&gt;et al.&lt;/i&gt; 2011)"},"properties":{"noteIndex":0},"schema":"https://github.com/citation-style-language/schema/raw/master/csl-citation.json"}</w:instrText>
            </w:r>
            <w:r w:rsidR="00C24453">
              <w:rPr>
                <w:sz w:val="20"/>
                <w:szCs w:val="20"/>
              </w:rPr>
              <w:fldChar w:fldCharType="separate"/>
            </w:r>
            <w:r w:rsidR="00C24453" w:rsidRPr="00C24453">
              <w:rPr>
                <w:noProof/>
                <w:sz w:val="20"/>
                <w:szCs w:val="20"/>
              </w:rPr>
              <w:t xml:space="preserve">Ketcham </w:t>
            </w:r>
            <w:r w:rsidR="00C24453" w:rsidRPr="00C24453">
              <w:rPr>
                <w:i/>
                <w:noProof/>
                <w:sz w:val="20"/>
                <w:szCs w:val="20"/>
              </w:rPr>
              <w:t>et al.</w:t>
            </w:r>
            <w:r w:rsidR="00C24453" w:rsidRPr="00C24453">
              <w:rPr>
                <w:noProof/>
                <w:sz w:val="20"/>
                <w:szCs w:val="20"/>
              </w:rPr>
              <w:t xml:space="preserve"> </w:t>
            </w:r>
            <w:r w:rsidR="00C24453">
              <w:rPr>
                <w:noProof/>
                <w:sz w:val="20"/>
                <w:szCs w:val="20"/>
              </w:rPr>
              <w:t>(</w:t>
            </w:r>
            <w:r w:rsidR="00C24453" w:rsidRPr="00C24453">
              <w:rPr>
                <w:noProof/>
                <w:sz w:val="20"/>
                <w:szCs w:val="20"/>
              </w:rPr>
              <w:t>2011)</w:t>
            </w:r>
            <w:r w:rsidR="00C24453">
              <w:rPr>
                <w:sz w:val="20"/>
                <w:szCs w:val="20"/>
              </w:rPr>
              <w:fldChar w:fldCharType="end"/>
            </w:r>
            <w:r w:rsidR="00C24453">
              <w:rPr>
                <w:sz w:val="20"/>
                <w:szCs w:val="20"/>
              </w:rPr>
              <w:t xml:space="preserve"> </w:t>
            </w:r>
          </w:p>
          <w:p w:rsidR="00CA437D" w:rsidRPr="00CA437D" w:rsidRDefault="00CA437D" w:rsidP="00CA437D">
            <w:pPr>
              <w:spacing w:after="0"/>
              <w:rPr>
                <w:rFonts w:cstheme="minorHAnsi"/>
                <w:sz w:val="20"/>
                <w:szCs w:val="20"/>
              </w:rPr>
            </w:pPr>
            <w:r w:rsidRPr="00CA437D">
              <w:rPr>
                <w:rFonts w:cstheme="minorHAnsi"/>
                <w:sz w:val="20"/>
                <w:szCs w:val="20"/>
              </w:rPr>
              <w:t>He ages discarded based on incomplete degassing after second laser treatment</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i/>
                <w:sz w:val="20"/>
                <w:szCs w:val="20"/>
              </w:rPr>
            </w:pPr>
            <w:r w:rsidRPr="00CA437D">
              <w:rPr>
                <w:rFonts w:cstheme="minorHAnsi"/>
                <w:i/>
                <w:sz w:val="20"/>
                <w:szCs w:val="20"/>
              </w:rPr>
              <w:t>AFT data</w:t>
            </w:r>
          </w:p>
        </w:tc>
        <w:tc>
          <w:tcPr>
            <w:tcW w:w="4960" w:type="dxa"/>
          </w:tcPr>
          <w:p w:rsidR="00CA437D" w:rsidRPr="00CA437D" w:rsidRDefault="00CA437D" w:rsidP="00CA437D">
            <w:pPr>
              <w:spacing w:after="0"/>
              <w:rPr>
                <w:rFonts w:cstheme="minorHAnsi"/>
                <w:sz w:val="20"/>
                <w:szCs w:val="20"/>
              </w:rPr>
            </w:pP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 xml:space="preserve">Apatite fission track counting analysis </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5.5M HNO</w:t>
            </w:r>
            <w:r w:rsidRPr="00CA437D">
              <w:rPr>
                <w:rFonts w:cstheme="minorHAnsi"/>
                <w:sz w:val="20"/>
                <w:szCs w:val="20"/>
                <w:vertAlign w:val="subscript"/>
              </w:rPr>
              <w:t>3</w:t>
            </w:r>
            <w:r w:rsidRPr="00CA437D">
              <w:rPr>
                <w:rFonts w:cstheme="minorHAnsi"/>
                <w:sz w:val="20"/>
                <w:szCs w:val="20"/>
              </w:rPr>
              <w:t xml:space="preserve"> etchant, 21°C, 20s</w:t>
            </w:r>
          </w:p>
          <w:p w:rsidR="00CA437D" w:rsidRPr="00CA437D" w:rsidRDefault="00CA437D" w:rsidP="00CA437D">
            <w:pPr>
              <w:spacing w:after="0"/>
              <w:rPr>
                <w:rFonts w:cstheme="minorHAnsi"/>
                <w:sz w:val="20"/>
                <w:szCs w:val="20"/>
              </w:rPr>
            </w:pPr>
            <w:r w:rsidRPr="00CA437D">
              <w:rPr>
                <w:rFonts w:cstheme="minorHAnsi"/>
                <w:sz w:val="20"/>
                <w:szCs w:val="20"/>
              </w:rPr>
              <w:t>well-thermalized channel X26 (Mol, Belgium)</w:t>
            </w:r>
          </w:p>
          <w:p w:rsidR="00CA437D" w:rsidRPr="00CA437D" w:rsidRDefault="00CA437D" w:rsidP="00CA437D">
            <w:pPr>
              <w:spacing w:after="0"/>
              <w:rPr>
                <w:rFonts w:cstheme="minorHAnsi"/>
                <w:sz w:val="20"/>
                <w:szCs w:val="20"/>
              </w:rPr>
            </w:pPr>
            <w:r w:rsidRPr="00CA437D">
              <w:rPr>
                <w:rFonts w:cstheme="minorHAnsi"/>
                <w:sz w:val="20"/>
                <w:szCs w:val="20"/>
              </w:rPr>
              <w:t>none of the single grain analysis were deleted after analysis in order to retain the samples possible populations</w:t>
            </w:r>
          </w:p>
          <w:p w:rsidR="00CA437D" w:rsidRPr="00CA437D" w:rsidRDefault="00CA437D" w:rsidP="00CA437D">
            <w:pPr>
              <w:spacing w:after="0"/>
              <w:rPr>
                <w:rFonts w:cstheme="minorHAnsi"/>
                <w:sz w:val="20"/>
                <w:szCs w:val="20"/>
              </w:rPr>
            </w:pPr>
            <w:r w:rsidRPr="00CA437D">
              <w:rPr>
                <w:rFonts w:cstheme="minorHAnsi"/>
                <w:sz w:val="20"/>
                <w:szCs w:val="20"/>
              </w:rPr>
              <w:t>Repositioning technique, Goodfellow U-free mica</w:t>
            </w:r>
          </w:p>
          <w:p w:rsidR="00CA437D" w:rsidRPr="00CA437D" w:rsidRDefault="00CA437D" w:rsidP="00CA437D">
            <w:pPr>
              <w:spacing w:after="0"/>
              <w:rPr>
                <w:rFonts w:cstheme="minorHAnsi"/>
                <w:sz w:val="20"/>
                <w:szCs w:val="20"/>
              </w:rPr>
            </w:pPr>
            <w:r w:rsidRPr="00CA437D">
              <w:rPr>
                <w:rFonts w:cstheme="minorHAnsi"/>
                <w:sz w:val="20"/>
                <w:szCs w:val="20"/>
              </w:rPr>
              <w:t>IRRM-540 U-doped glasses</w:t>
            </w:r>
            <w:bookmarkStart w:id="0" w:name="_GoBack"/>
            <w:bookmarkEnd w:id="0"/>
          </w:p>
          <w:p w:rsidR="00CA437D" w:rsidRPr="00CA437D" w:rsidRDefault="00CA437D" w:rsidP="00CA437D">
            <w:pPr>
              <w:spacing w:after="0"/>
              <w:rPr>
                <w:rFonts w:cstheme="minorHAnsi"/>
                <w:sz w:val="20"/>
                <w:szCs w:val="20"/>
              </w:rPr>
            </w:pPr>
            <w:r w:rsidRPr="00CA437D">
              <w:rPr>
                <w:rFonts w:cstheme="minorHAnsi"/>
                <w:sz w:val="20"/>
                <w:szCs w:val="20"/>
              </w:rPr>
              <w:t xml:space="preserve">TINTs, TINCLEs and </w:t>
            </w:r>
            <w:r w:rsidRPr="00CA437D">
              <w:rPr>
                <w:rFonts w:cstheme="minorHAnsi"/>
                <w:sz w:val="20"/>
                <w:szCs w:val="20"/>
                <w:vertAlign w:val="superscript"/>
              </w:rPr>
              <w:t>252</w:t>
            </w:r>
            <w:r w:rsidRPr="00CA437D">
              <w:rPr>
                <w:rFonts w:cstheme="minorHAnsi"/>
                <w:sz w:val="20"/>
                <w:szCs w:val="20"/>
              </w:rPr>
              <w:t>Cf tracks are used for some samples due to the low spontaneous track density</w:t>
            </w:r>
          </w:p>
          <w:p w:rsidR="00CA437D" w:rsidRPr="00CA437D" w:rsidRDefault="00CA437D" w:rsidP="00CA437D">
            <w:pPr>
              <w:spacing w:after="0"/>
              <w:rPr>
                <w:rFonts w:cstheme="minorHAnsi"/>
                <w:sz w:val="20"/>
                <w:szCs w:val="20"/>
              </w:rPr>
            </w:pPr>
            <w:r w:rsidRPr="00CA437D">
              <w:rPr>
                <w:rFonts w:cstheme="minorHAnsi"/>
                <w:sz w:val="20"/>
                <w:szCs w:val="20"/>
              </w:rPr>
              <w:t>Dpar: 4 measurements/grain</w:t>
            </w:r>
          </w:p>
        </w:tc>
        <w:tc>
          <w:tcPr>
            <w:tcW w:w="2842" w:type="dxa"/>
          </w:tcPr>
          <w:p w:rsidR="00CA437D" w:rsidRPr="00C24453" w:rsidRDefault="00CA437D" w:rsidP="00C24453">
            <w:pPr>
              <w:spacing w:after="0"/>
              <w:rPr>
                <w:rFonts w:cstheme="minorHAnsi"/>
                <w:sz w:val="20"/>
                <w:szCs w:val="20"/>
              </w:rPr>
            </w:pPr>
            <w:r w:rsidRPr="00C24453">
              <w:rPr>
                <w:rFonts w:cstheme="minorHAnsi"/>
                <w:sz w:val="20"/>
                <w:szCs w:val="20"/>
              </w:rPr>
              <w:t xml:space="preserve">Protocol: see </w:t>
            </w:r>
            <w:r w:rsidR="00C24453">
              <w:rPr>
                <w:rFonts w:cstheme="minorHAnsi"/>
                <w:sz w:val="20"/>
                <w:szCs w:val="20"/>
                <w:lang w:val="nl-BE"/>
              </w:rPr>
              <w:fldChar w:fldCharType="begin" w:fldLock="1"/>
            </w:r>
            <w:r w:rsidR="00C24453">
              <w:rPr>
                <w:rFonts w:cstheme="minorHAnsi"/>
                <w:sz w:val="20"/>
                <w:szCs w:val="20"/>
              </w:rPr>
              <w:instrText>ADDIN CSL_CITATION {"citationItems":[{"id":"ITEM-1","itemData":{"DOI":"10.1016/J.GSF.2017.11.007","ISSN":"1674-9871","abstract":"This study provides new low-temperature thermochronometric data, mainly apatite fission track data on the basement rocks in and adjacent to the Talas-Fergana Fault, in the Kyrgyz Tien Shan in the first place. In the second place, we also present new detrital apatite fission track data on the Meso-Cenozoic sediments from fault related basins and surrounding intramontane basins. Our results confirm multi-staged Meso-Cenozoic tectonic activity, possibly induced by the accretion of the so-called Cimmerian blocks to the Eurasian margin. New evidence for this multi-staged thermo-tectonic activity is found in the data of both basement and Meso–Cenozoic sediment samples in or close to the Talas-Fergana Fault. Zircon (U–Th)/He and apatite fission track data constrain rapid Late Triassic–Early Jurassic and Late Jurassic–Early Cretaceous basement cooling in the Kyrgyz Tien Shan around 200 Ma and 130–100 Ma respectively. Detrital apatite fission track results indicate a different burial history on both sides of the Talas-Fergana Fault. The apatite fission track system of the Jurassic sediments in the Middle Tien Shan unit east of the Talas-Fergana Fault is not reset, while the Jurassic sediments in the Fergana Basin and Yarkand-Fergana Basin, west of the fault zone, are partially and in some cases even totally reset. The totally reset samples exhibit Oligocene and Miocene ages and evidence the Cenozoic reactivation of the western Kyrgyz Tien Shan as a consequence of the India-Eurasia convergence.","author":[{"dropping-particle":"","family":"Nachtergaele","given":"Simon","non-dropping-particle":"","parse-names":false,"suffix":""},{"dropping-particle":"","family":"Pelsmaeker","given":"Elien","non-dropping-particle":"De","parse-names":false,"suffix":""},{"dropping-particle":"","family":"Glorie","given":"Stijn","non-dropping-particle":"","parse-names":false,"suffix":""},{"dropping-particle":"","family":"Zhimulev","given":"Fedor","non-dropping-particle":"","parse-names":false,"suffix":""},{"dropping-particle":"","family":"Jolivet","given":"Marc","non-dropping-particle":"","parse-names":false,"suffix":""},{"dropping-particle":"","family":"Danišík","given":"Martin","non-dropping-particle":"","parse-names":false,"suffix":""},{"dropping-particle":"","family":"Buslov","given":"Mikhail M.","non-dropping-particle":"","parse-names":false,"suffix":""},{"dropping-particle":"","family":"Grave","given":"Johan","non-dropping-particle":"De","parse-names":false,"suffix":""}],"container-title":"Geoscience Frontiers","id":"ITEM-1","issue":"5","issued":{"date-parts":[["2018","12","2"]]},"page":"1495-1514","publisher":"Elsevier","title":"Meso-Cenozoic tectonic evolution of the Talas-Fergana region of the Kyrgyz Tien Shan revealed by low-temperature basement and detrital thermochronology","type":"article-journal","volume":"9"},"uris":["http://www.mendeley.com/documents/?uuid=20bcf925-dfc6-3725-9670-d32411af5efc"]}],"mendeley":{"formattedCitation":"(Nachtergaele &lt;i&gt;et al.&lt;/i&gt; 2018)","manualFormatting":"Nachtergaele et al. (2018)","plainTextFormattedCitation":"(Nachtergaele et al. 2018)","previouslyFormattedCitation":"(Nachtergaele &lt;i&gt;et al.&lt;/i&gt; 2018)"},"properties":{"noteIndex":0},"schema":"https://github.com/citation-style-language/schema/raw/master/csl-citation.json"}</w:instrText>
            </w:r>
            <w:r w:rsidR="00C24453">
              <w:rPr>
                <w:rFonts w:cstheme="minorHAnsi"/>
                <w:sz w:val="20"/>
                <w:szCs w:val="20"/>
                <w:lang w:val="nl-BE"/>
              </w:rPr>
              <w:fldChar w:fldCharType="separate"/>
            </w:r>
            <w:r w:rsidR="00C24453" w:rsidRPr="00C24453">
              <w:rPr>
                <w:rFonts w:cstheme="minorHAnsi"/>
                <w:noProof/>
                <w:sz w:val="20"/>
                <w:szCs w:val="20"/>
              </w:rPr>
              <w:t xml:space="preserve">Nachtergaele </w:t>
            </w:r>
            <w:r w:rsidR="00C24453" w:rsidRPr="00C24453">
              <w:rPr>
                <w:rFonts w:cstheme="minorHAnsi"/>
                <w:i/>
                <w:noProof/>
                <w:sz w:val="20"/>
                <w:szCs w:val="20"/>
              </w:rPr>
              <w:t>et al.</w:t>
            </w:r>
            <w:r w:rsidR="00C24453" w:rsidRPr="00C24453">
              <w:rPr>
                <w:rFonts w:cstheme="minorHAnsi"/>
                <w:noProof/>
                <w:sz w:val="20"/>
                <w:szCs w:val="20"/>
              </w:rPr>
              <w:t xml:space="preserve"> </w:t>
            </w:r>
            <w:r w:rsidR="00C24453">
              <w:rPr>
                <w:rFonts w:cstheme="minorHAnsi"/>
                <w:noProof/>
                <w:sz w:val="20"/>
                <w:szCs w:val="20"/>
              </w:rPr>
              <w:t>(</w:t>
            </w:r>
            <w:r w:rsidR="00C24453" w:rsidRPr="00C24453">
              <w:rPr>
                <w:rFonts w:cstheme="minorHAnsi"/>
                <w:noProof/>
                <w:sz w:val="20"/>
                <w:szCs w:val="20"/>
              </w:rPr>
              <w:t>2018)</w:t>
            </w:r>
            <w:r w:rsidR="00C24453">
              <w:rPr>
                <w:rFonts w:cstheme="minorHAnsi"/>
                <w:sz w:val="20"/>
                <w:szCs w:val="20"/>
                <w:lang w:val="nl-BE"/>
              </w:rPr>
              <w:fldChar w:fldCharType="end"/>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lastRenderedPageBreak/>
              <w:t xml:space="preserve">Standards used during analysis </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Fish Canyon Tuff apatite and Durango apatite</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13040" w:type="dxa"/>
            <w:gridSpan w:val="3"/>
          </w:tcPr>
          <w:p w:rsidR="00CA437D" w:rsidRPr="00CA437D" w:rsidRDefault="00CA437D" w:rsidP="00CA437D">
            <w:pPr>
              <w:pStyle w:val="Lijstalinea"/>
              <w:numPr>
                <w:ilvl w:val="0"/>
                <w:numId w:val="1"/>
              </w:numPr>
              <w:spacing w:after="0" w:line="240" w:lineRule="auto"/>
              <w:rPr>
                <w:rFonts w:cstheme="minorHAnsi"/>
                <w:b/>
                <w:sz w:val="20"/>
                <w:szCs w:val="20"/>
              </w:rPr>
            </w:pPr>
            <w:r w:rsidRPr="00CA437D">
              <w:rPr>
                <w:rFonts w:cstheme="minorHAnsi"/>
                <w:b/>
                <w:sz w:val="20"/>
                <w:szCs w:val="20"/>
              </w:rPr>
              <w:t>Additional geologic information</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 xml:space="preserve">No temperature constraints were added. Prior was chosen as central age ± central age, as argumented by Van Ranst et al. (re-submitted) to reduce the “prior-effect”. </w:t>
            </w:r>
          </w:p>
        </w:tc>
        <w:tc>
          <w:tcPr>
            <w:tcW w:w="4960" w:type="dxa"/>
          </w:tcPr>
          <w:p w:rsidR="00CA437D" w:rsidRPr="00CA437D" w:rsidRDefault="00CA437D" w:rsidP="00CA437D">
            <w:pPr>
              <w:spacing w:after="0"/>
              <w:rPr>
                <w:rFonts w:cstheme="minorHAnsi"/>
                <w:sz w:val="20"/>
                <w:szCs w:val="20"/>
              </w:rPr>
            </w:pP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13040" w:type="dxa"/>
            <w:gridSpan w:val="3"/>
          </w:tcPr>
          <w:p w:rsidR="00CA437D" w:rsidRPr="00CA437D" w:rsidRDefault="00CA437D" w:rsidP="00CA437D">
            <w:pPr>
              <w:pStyle w:val="Lijstalinea"/>
              <w:numPr>
                <w:ilvl w:val="0"/>
                <w:numId w:val="1"/>
              </w:numPr>
              <w:spacing w:after="0" w:line="240" w:lineRule="auto"/>
              <w:rPr>
                <w:rFonts w:cstheme="minorHAnsi"/>
                <w:b/>
                <w:sz w:val="20"/>
                <w:szCs w:val="20"/>
              </w:rPr>
            </w:pPr>
            <w:r w:rsidRPr="00CA437D">
              <w:rPr>
                <w:rFonts w:cstheme="minorHAnsi"/>
                <w:b/>
                <w:sz w:val="20"/>
                <w:szCs w:val="20"/>
              </w:rPr>
              <w:t>System and model-specific parameters</w:t>
            </w: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Optical configuration</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Nikon Eclipse Ni-E microscope equipped with a DS-Ri2 camera using 2000x magnification</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lang w:val="nl-BE"/>
              </w:rPr>
            </w:pPr>
            <w:r w:rsidRPr="00CA437D">
              <w:rPr>
                <w:rFonts w:cstheme="minorHAnsi"/>
                <w:sz w:val="20"/>
                <w:szCs w:val="20"/>
                <w:lang w:val="nl-BE"/>
              </w:rPr>
              <w:t xml:space="preserve">FT annealing model: </w:t>
            </w:r>
            <w:r w:rsidRPr="00CA437D">
              <w:rPr>
                <w:rFonts w:cstheme="minorHAnsi"/>
                <w:sz w:val="20"/>
                <w:szCs w:val="20"/>
                <w:lang w:val="nl-BE"/>
              </w:rPr>
              <w:fldChar w:fldCharType="begin" w:fldLock="1"/>
            </w:r>
            <w:r w:rsidRPr="00CA437D">
              <w:rPr>
                <w:rFonts w:cstheme="minorHAnsi"/>
                <w:sz w:val="20"/>
                <w:szCs w:val="20"/>
                <w:lang w:val="nl-BE"/>
              </w:rPr>
              <w:instrText>ADDIN CSL_CITATION {"citationItems":[{"id":"ITEM-1","itemData":{"DOI":"10.2138/am.2007.2281","ISBN":"0003-004X","ISSN":"0003004X","PMID":"246682200009","abstract":"Two abiding issues impact the reliability of apatite fission-track analysis and thermal history inversion in particular: reproducibility of track-length measurements and variability of annealing kinetics. In the companion to this paper, we addressed the first by demonstrating that using e-axis projection to normalize track lengths for crystallographic angle improves reproducibility among measurements acquired by Barbarand et al. (2003a, 2003b). We continue here by looking at the effect of c-axis projection on extrapolation of laboratory measurements to geological time scales. We find that c-axis projection improves agreement between predictions of empirical annealing models fit to measurements by Barbarand et al. (2003b) analysts I and 3, further corroborating its effectiveness in ameliorating observer bias. Furthermore, these annealing models closely match predictions from the Carlson et al. (1999) annealing data set, which was obtained by a different analyst using a different etching protocol. Normalizing for angle thus allows us to create a single annealing model that encompasses both data sets and etching techniques. By combining the different compositional varieties of apatite in the two data sets, the resulting model provides an improved basis for estimating apatite kinetic properties in unknowns using proxies such as composition, etch-figure dimension, and unit-cell parameters. Predictions from a fanning curvilinear model form accord with conventional expectations of annealing at high and low temperatures, and its use for thermal history inversion will not introduce spurious late cooling events.","author":[{"dropping-particle":"","family":"Ketcham","given":"Richard A.","non-dropping-particle":"","parse-names":false,"suffix":""},{"dropping-particle":"","family":"Carter","given":"Andrew","non-dropping-particle":"","parse-names":false,"suffix":""},{"dropping-particle":"","family":"Donelick","given":"Raymond A.","non-dropping-particle":"","parse-names":false,"suffix":""},{"dropping-particle":"","family":"Barbarand","given":"Jocelyn","non-dropping-particle":"","parse-names":false,"suffix":""},{"dropping-particle":"","family":"Hurford","given":"Anthony J.","non-dropping-particle":"","parse-names":false,"suffix":""}],"container-title":"American Mineralogist","id":"ITEM-1","issue":"5-6","issued":{"date-parts":[["2007"]]},"page":"799-810","title":"Improved modeling of fission-track annealing in apatite","type":"article-journal","volume":"92"},"uris":["http://www.mendeley.com/documents/?uuid=35e3a9c6-c8bf-4f2a-bab0-ccb706c2d5ff"]}],"mendeley":{"formattedCitation":"(Ketcham &lt;i&gt;et al.&lt;/i&gt; 2007b)","plainTextFormattedCitation":"(Ketcham et al. 2007b)","previouslyFormattedCitation":"(Ketcham &lt;i&gt;et al.&lt;/i&gt; 2007b)"},"properties":{"noteIndex":0},"schema":"https://github.com/citation-style-language/schema/raw/master/csl-citation.json"}</w:instrText>
            </w:r>
            <w:r w:rsidRPr="00CA437D">
              <w:rPr>
                <w:rFonts w:cstheme="minorHAnsi"/>
                <w:sz w:val="20"/>
                <w:szCs w:val="20"/>
                <w:lang w:val="nl-BE"/>
              </w:rPr>
              <w:fldChar w:fldCharType="separate"/>
            </w:r>
            <w:r w:rsidRPr="00CA437D">
              <w:rPr>
                <w:rFonts w:cstheme="minorHAnsi"/>
                <w:noProof/>
                <w:sz w:val="20"/>
                <w:szCs w:val="20"/>
                <w:lang w:val="nl-BE"/>
              </w:rPr>
              <w:t xml:space="preserve">(Ketcham </w:t>
            </w:r>
            <w:r w:rsidRPr="00CA437D">
              <w:rPr>
                <w:rFonts w:cstheme="minorHAnsi"/>
                <w:i/>
                <w:noProof/>
                <w:sz w:val="20"/>
                <w:szCs w:val="20"/>
                <w:lang w:val="nl-BE"/>
              </w:rPr>
              <w:t>et al.</w:t>
            </w:r>
            <w:r w:rsidRPr="00CA437D">
              <w:rPr>
                <w:rFonts w:cstheme="minorHAnsi"/>
                <w:noProof/>
                <w:sz w:val="20"/>
                <w:szCs w:val="20"/>
                <w:lang w:val="nl-BE"/>
              </w:rPr>
              <w:t xml:space="preserve"> 2007b)</w:t>
            </w:r>
            <w:r w:rsidRPr="00CA437D">
              <w:rPr>
                <w:rFonts w:cstheme="minorHAnsi"/>
                <w:sz w:val="20"/>
                <w:szCs w:val="20"/>
                <w:lang w:val="nl-BE"/>
              </w:rPr>
              <w:fldChar w:fldCharType="end"/>
            </w:r>
          </w:p>
        </w:tc>
        <w:tc>
          <w:tcPr>
            <w:tcW w:w="4960" w:type="dxa"/>
          </w:tcPr>
          <w:p w:rsidR="00CA437D" w:rsidRPr="00CA437D" w:rsidRDefault="00CA437D" w:rsidP="00CA437D">
            <w:pPr>
              <w:spacing w:after="0"/>
              <w:rPr>
                <w:rFonts w:cstheme="minorHAnsi"/>
                <w:sz w:val="20"/>
                <w:szCs w:val="20"/>
                <w:lang w:val="nl-BE"/>
              </w:rPr>
            </w:pPr>
          </w:p>
        </w:tc>
        <w:tc>
          <w:tcPr>
            <w:tcW w:w="2842" w:type="dxa"/>
          </w:tcPr>
          <w:p w:rsidR="00CA437D" w:rsidRPr="00CA437D" w:rsidRDefault="00CA437D" w:rsidP="00CA437D">
            <w:pPr>
              <w:spacing w:after="0"/>
              <w:rPr>
                <w:rFonts w:cstheme="minorHAnsi"/>
                <w:sz w:val="20"/>
                <w:szCs w:val="20"/>
                <w:lang w:val="nl-BE"/>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 xml:space="preserve">c-axis projection is used for modeling </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 xml:space="preserve">See </w:t>
            </w:r>
            <w:r w:rsidRPr="00CA437D">
              <w:rPr>
                <w:rFonts w:cstheme="minorHAnsi"/>
                <w:sz w:val="20"/>
                <w:szCs w:val="20"/>
              </w:rPr>
              <w:fldChar w:fldCharType="begin" w:fldLock="1"/>
            </w:r>
            <w:r w:rsidR="00C24453">
              <w:rPr>
                <w:rFonts w:cstheme="minorHAnsi"/>
                <w:sz w:val="20"/>
                <w:szCs w:val="20"/>
              </w:rPr>
              <w:instrText>ADDIN CSL_CITATION {"citationItems":[{"id":"ITEM-1","itemData":{"DOI":"10.2138/am.2007.2280","author":[{"dropping-particle":"","family":"Ketcham","given":"Richard A.","non-dropping-particle":"","parse-names":false,"suffix":""},{"dropping-particle":"","family":"Carter","given":"Andrew","non-dropping-particle":"","parse-names":false,"suffix":""},{"dropping-particle":"","family":"Donelick","given":"Raymond A.","non-dropping-particle":"","parse-names":false,"suffix":""},{"dropping-particle":"","family":"Barbarand","given":"Jocelyn","non-dropping-particle":"","parse-names":false,"suffix":""},{"dropping-particle":"","family":"Hurford","given":"Anthony J.","non-dropping-particle":"","parse-names":false,"suffix":""}],"container-title":"American Mineralogist","id":"ITEM-1","issued":{"date-parts":[["2007"]]},"page":"789-798","title":"Improved measurement of fission-track annealing in apatite using c-axis projection","type":"article-journal","volume":"92"},"uris":["http://www.mendeley.com/documents/?uuid=eef6ac8c-c067-48d4-9bbe-ad895734e1bf"]}],"mendeley":{"formattedCitation":"(Ketcham &lt;i&gt;et al.&lt;/i&gt; 2007a)","manualFormatting":"Ketcham et al. (2007a)","plainTextFormattedCitation":"(Ketcham et al. 2007a)","previouslyFormattedCitation":"(Ketcham &lt;i&gt;et al.&lt;/i&gt; 2007a)"},"properties":{"noteIndex":0},"schema":"https://github.com/citation-style-language/schema/raw/master/csl-citation.json"}</w:instrText>
            </w:r>
            <w:r w:rsidRPr="00CA437D">
              <w:rPr>
                <w:rFonts w:cstheme="minorHAnsi"/>
                <w:sz w:val="20"/>
                <w:szCs w:val="20"/>
              </w:rPr>
              <w:fldChar w:fldCharType="separate"/>
            </w:r>
            <w:r w:rsidRPr="00CA437D">
              <w:rPr>
                <w:rFonts w:cstheme="minorHAnsi"/>
                <w:noProof/>
                <w:sz w:val="20"/>
                <w:szCs w:val="20"/>
              </w:rPr>
              <w:t xml:space="preserve">Ketcham </w:t>
            </w:r>
            <w:r w:rsidRPr="00CA437D">
              <w:rPr>
                <w:rFonts w:cstheme="minorHAnsi"/>
                <w:i/>
                <w:noProof/>
                <w:sz w:val="20"/>
                <w:szCs w:val="20"/>
              </w:rPr>
              <w:t>et al.</w:t>
            </w:r>
            <w:r w:rsidRPr="00CA437D">
              <w:rPr>
                <w:rFonts w:cstheme="minorHAnsi"/>
                <w:noProof/>
                <w:sz w:val="20"/>
                <w:szCs w:val="20"/>
              </w:rPr>
              <w:t xml:space="preserve"> (2007a)</w:t>
            </w:r>
            <w:r w:rsidRPr="00CA437D">
              <w:rPr>
                <w:rFonts w:cstheme="minorHAnsi"/>
                <w:sz w:val="20"/>
                <w:szCs w:val="20"/>
              </w:rPr>
              <w:fldChar w:fldCharType="end"/>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Cf-irradiation for some samples</w:t>
            </w:r>
          </w:p>
        </w:tc>
        <w:tc>
          <w:tcPr>
            <w:tcW w:w="4960" w:type="dxa"/>
          </w:tcPr>
          <w:p w:rsidR="00CA437D" w:rsidRDefault="00CA437D" w:rsidP="00CA437D">
            <w:pPr>
              <w:spacing w:after="0"/>
              <w:rPr>
                <w:rFonts w:cstheme="minorHAnsi"/>
                <w:sz w:val="20"/>
                <w:szCs w:val="20"/>
              </w:rPr>
            </w:pPr>
            <w:r w:rsidRPr="00CA437D">
              <w:rPr>
                <w:rFonts w:cstheme="minorHAnsi"/>
                <w:sz w:val="20"/>
                <w:szCs w:val="20"/>
              </w:rPr>
              <w:t>Only KM-14B benefited from Cf-irradiation</w:t>
            </w:r>
          </w:p>
          <w:p w:rsidR="00311908" w:rsidRPr="00CA437D" w:rsidRDefault="00311908" w:rsidP="00CA437D">
            <w:pPr>
              <w:spacing w:after="0"/>
              <w:rPr>
                <w:rFonts w:cstheme="minorHAnsi"/>
                <w:sz w:val="20"/>
                <w:szCs w:val="20"/>
              </w:rPr>
            </w:pPr>
            <w:r>
              <w:rPr>
                <w:rFonts w:cstheme="minorHAnsi"/>
                <w:sz w:val="20"/>
                <w:szCs w:val="20"/>
              </w:rPr>
              <w:t>Appendix 5: KM-07, KM-14A and KM-15 also benefited from Cf-irradiation</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Optical configuration</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Nikon Eclipse Ni-E microscope equipped with a DS-Ri2 camera using 2000x magnification</w:t>
            </w:r>
          </w:p>
        </w:tc>
        <w:tc>
          <w:tcPr>
            <w:tcW w:w="2842" w:type="dxa"/>
          </w:tcPr>
          <w:p w:rsidR="00CA437D" w:rsidRPr="00CA437D" w:rsidRDefault="00CA437D" w:rsidP="00CA437D">
            <w:pPr>
              <w:spacing w:after="0"/>
              <w:rPr>
                <w:rFonts w:cstheme="minorHAnsi"/>
                <w:sz w:val="20"/>
                <w:szCs w:val="20"/>
              </w:rPr>
            </w:pPr>
          </w:p>
        </w:tc>
      </w:tr>
      <w:tr w:rsidR="00CA437D" w:rsidRPr="00CA437D" w:rsidTr="0052552C">
        <w:tc>
          <w:tcPr>
            <w:tcW w:w="5238" w:type="dxa"/>
          </w:tcPr>
          <w:p w:rsidR="00CA437D" w:rsidRPr="00CA437D" w:rsidRDefault="00CA437D" w:rsidP="00CA437D">
            <w:pPr>
              <w:spacing w:after="0"/>
              <w:rPr>
                <w:rFonts w:cstheme="minorHAnsi"/>
                <w:sz w:val="20"/>
                <w:szCs w:val="20"/>
              </w:rPr>
            </w:pPr>
            <w:r w:rsidRPr="00CA437D">
              <w:rPr>
                <w:rFonts w:cstheme="minorHAnsi"/>
                <w:sz w:val="20"/>
                <w:szCs w:val="20"/>
              </w:rPr>
              <w:t>QTQt version 5.6.0 (January 2017)</w:t>
            </w:r>
          </w:p>
        </w:tc>
        <w:tc>
          <w:tcPr>
            <w:tcW w:w="4960" w:type="dxa"/>
          </w:tcPr>
          <w:p w:rsidR="00CA437D" w:rsidRPr="00CA437D" w:rsidRDefault="00CA437D" w:rsidP="00CA437D">
            <w:pPr>
              <w:spacing w:after="0"/>
              <w:rPr>
                <w:rFonts w:cstheme="minorHAnsi"/>
                <w:sz w:val="20"/>
                <w:szCs w:val="20"/>
              </w:rPr>
            </w:pPr>
            <w:r w:rsidRPr="00CA437D">
              <w:rPr>
                <w:rFonts w:cstheme="minorHAnsi"/>
                <w:sz w:val="20"/>
                <w:szCs w:val="20"/>
              </w:rPr>
              <w:t xml:space="preserve">Prior: central age ± central age; 70±70°C </w:t>
            </w:r>
          </w:p>
          <w:p w:rsidR="00CA437D" w:rsidRPr="00CA437D" w:rsidRDefault="00CA437D" w:rsidP="00CA437D">
            <w:pPr>
              <w:spacing w:after="0"/>
              <w:rPr>
                <w:rFonts w:cstheme="minorHAnsi"/>
                <w:sz w:val="20"/>
                <w:szCs w:val="20"/>
              </w:rPr>
            </w:pPr>
            <w:r w:rsidRPr="00CA437D">
              <w:rPr>
                <w:rFonts w:cstheme="minorHAnsi"/>
                <w:sz w:val="20"/>
                <w:szCs w:val="20"/>
              </w:rPr>
              <w:t>Burn-in: 10</w:t>
            </w:r>
            <w:r w:rsidRPr="00CA437D">
              <w:rPr>
                <w:rFonts w:cstheme="minorHAnsi"/>
                <w:sz w:val="20"/>
                <w:szCs w:val="20"/>
                <w:vertAlign w:val="superscript"/>
              </w:rPr>
              <w:t>4</w:t>
            </w:r>
            <w:r w:rsidRPr="00CA437D">
              <w:rPr>
                <w:rFonts w:cstheme="minorHAnsi"/>
                <w:sz w:val="20"/>
                <w:szCs w:val="20"/>
              </w:rPr>
              <w:t>; post-burn-in: 10</w:t>
            </w:r>
            <w:r w:rsidRPr="00CA437D">
              <w:rPr>
                <w:rFonts w:cstheme="minorHAnsi"/>
                <w:sz w:val="20"/>
                <w:szCs w:val="20"/>
                <w:vertAlign w:val="superscript"/>
              </w:rPr>
              <w:t xml:space="preserve">6 </w:t>
            </w:r>
            <w:r w:rsidRPr="00CA437D">
              <w:rPr>
                <w:rFonts w:cstheme="minorHAnsi"/>
                <w:sz w:val="20"/>
                <w:szCs w:val="20"/>
              </w:rPr>
              <w:t>iterations</w:t>
            </w:r>
          </w:p>
          <w:p w:rsidR="00CA437D" w:rsidRPr="00CA437D" w:rsidRDefault="00CA437D" w:rsidP="00CA437D">
            <w:pPr>
              <w:spacing w:after="0"/>
              <w:rPr>
                <w:rFonts w:cstheme="minorHAnsi"/>
                <w:sz w:val="20"/>
                <w:szCs w:val="20"/>
              </w:rPr>
            </w:pPr>
            <w:r w:rsidRPr="00CA437D">
              <w:rPr>
                <w:rFonts w:cstheme="minorHAnsi"/>
                <w:sz w:val="20"/>
                <w:szCs w:val="20"/>
              </w:rPr>
              <w:t>MCMC chain converged when acceptance rates were reasonable and in balance</w:t>
            </w:r>
          </w:p>
          <w:p w:rsidR="00CA437D" w:rsidRDefault="00CA437D" w:rsidP="00CA437D">
            <w:pPr>
              <w:spacing w:after="0"/>
              <w:rPr>
                <w:rFonts w:cstheme="minorHAnsi"/>
                <w:sz w:val="20"/>
                <w:szCs w:val="20"/>
              </w:rPr>
            </w:pPr>
            <w:r w:rsidRPr="00CA437D">
              <w:rPr>
                <w:rFonts w:cstheme="minorHAnsi"/>
                <w:sz w:val="20"/>
                <w:szCs w:val="20"/>
              </w:rPr>
              <w:t xml:space="preserve">KM-14B: proposal step of 10 Ma and 14°C </w:t>
            </w:r>
            <w:r w:rsidRPr="00CA437D">
              <w:rPr>
                <w:rFonts w:cstheme="minorHAnsi"/>
                <w:sz w:val="20"/>
                <w:szCs w:val="20"/>
              </w:rPr>
              <w:br/>
              <w:t>NT-02: proposal step of 10 Ma and 14°C</w:t>
            </w:r>
          </w:p>
          <w:p w:rsidR="00311908" w:rsidRDefault="00311908" w:rsidP="00CA437D">
            <w:pPr>
              <w:spacing w:after="0"/>
              <w:rPr>
                <w:rFonts w:cstheme="minorHAnsi"/>
                <w:sz w:val="20"/>
                <w:szCs w:val="20"/>
              </w:rPr>
            </w:pPr>
            <w:r>
              <w:rPr>
                <w:rFonts w:cstheme="minorHAnsi"/>
                <w:sz w:val="20"/>
                <w:szCs w:val="20"/>
              </w:rPr>
              <w:t>Appendix 5: KM-07: proposal step of 10 Ma and 14°C</w:t>
            </w:r>
          </w:p>
          <w:p w:rsidR="00311908" w:rsidRDefault="00311908" w:rsidP="00CA437D">
            <w:pPr>
              <w:spacing w:after="0"/>
              <w:rPr>
                <w:rFonts w:cstheme="minorHAnsi"/>
                <w:sz w:val="20"/>
                <w:szCs w:val="20"/>
              </w:rPr>
            </w:pPr>
            <w:r>
              <w:rPr>
                <w:rFonts w:cstheme="minorHAnsi"/>
                <w:sz w:val="20"/>
                <w:szCs w:val="20"/>
              </w:rPr>
              <w:t>Appendix 5: KM-14A: proposal step of 10 Ma and 14°C</w:t>
            </w:r>
          </w:p>
          <w:p w:rsidR="00311908" w:rsidRPr="00CA437D" w:rsidRDefault="00311908" w:rsidP="00CA437D">
            <w:pPr>
              <w:spacing w:after="0"/>
              <w:rPr>
                <w:rFonts w:cstheme="minorHAnsi"/>
                <w:sz w:val="20"/>
                <w:szCs w:val="20"/>
              </w:rPr>
            </w:pPr>
            <w:r>
              <w:rPr>
                <w:rFonts w:cstheme="minorHAnsi"/>
                <w:sz w:val="20"/>
                <w:szCs w:val="20"/>
              </w:rPr>
              <w:t>Appendix 5: KM-15: proposal step of 10 Ma and 14°C</w:t>
            </w:r>
          </w:p>
          <w:p w:rsidR="00CA437D" w:rsidRDefault="00CA437D" w:rsidP="00CA437D">
            <w:pPr>
              <w:spacing w:after="0"/>
              <w:rPr>
                <w:rFonts w:cstheme="minorHAnsi"/>
                <w:sz w:val="20"/>
                <w:szCs w:val="20"/>
              </w:rPr>
            </w:pPr>
            <w:r w:rsidRPr="00CA437D">
              <w:rPr>
                <w:rFonts w:cstheme="minorHAnsi"/>
                <w:sz w:val="20"/>
                <w:szCs w:val="20"/>
              </w:rPr>
              <w:t>Model predictions vs. observed: see Figure 7</w:t>
            </w:r>
            <w:r w:rsidR="00311908">
              <w:rPr>
                <w:rFonts w:cstheme="minorHAnsi"/>
                <w:sz w:val="20"/>
                <w:szCs w:val="20"/>
              </w:rPr>
              <w:t xml:space="preserve"> and appendix 5</w:t>
            </w:r>
          </w:p>
          <w:p w:rsidR="00311908" w:rsidRPr="00CA437D" w:rsidRDefault="00311908" w:rsidP="00CA437D">
            <w:pPr>
              <w:spacing w:after="0"/>
              <w:rPr>
                <w:rFonts w:cstheme="minorHAnsi"/>
                <w:sz w:val="20"/>
                <w:szCs w:val="20"/>
              </w:rPr>
            </w:pPr>
          </w:p>
        </w:tc>
        <w:tc>
          <w:tcPr>
            <w:tcW w:w="2842" w:type="dxa"/>
          </w:tcPr>
          <w:p w:rsidR="00CA437D" w:rsidRPr="00CA437D" w:rsidRDefault="00CA437D" w:rsidP="00CA437D">
            <w:pPr>
              <w:spacing w:after="0"/>
              <w:rPr>
                <w:rFonts w:cstheme="minorHAnsi"/>
                <w:sz w:val="20"/>
                <w:szCs w:val="20"/>
              </w:rPr>
            </w:pPr>
          </w:p>
        </w:tc>
      </w:tr>
    </w:tbl>
    <w:p w:rsidR="00C24453" w:rsidRDefault="00E765F3" w:rsidP="00CA437D">
      <w:pPr>
        <w:spacing w:after="0"/>
        <w:rPr>
          <w:rFonts w:cstheme="minorHAnsi"/>
          <w:sz w:val="20"/>
          <w:szCs w:val="20"/>
        </w:rPr>
      </w:pPr>
      <w:r>
        <w:rPr>
          <w:rFonts w:cstheme="minorHAnsi"/>
          <w:sz w:val="20"/>
          <w:szCs w:val="20"/>
        </w:rPr>
        <w:t>References:</w:t>
      </w:r>
    </w:p>
    <w:p w:rsidR="00C24453" w:rsidRPr="00E765F3" w:rsidRDefault="00C24453" w:rsidP="00C24453">
      <w:pPr>
        <w:widowControl w:val="0"/>
        <w:autoSpaceDE w:val="0"/>
        <w:autoSpaceDN w:val="0"/>
        <w:adjustRightInd w:val="0"/>
        <w:spacing w:after="0" w:line="240" w:lineRule="auto"/>
        <w:ind w:left="480" w:hanging="480"/>
        <w:rPr>
          <w:rFonts w:ascii="Calibri" w:hAnsi="Calibri" w:cs="Calibri"/>
          <w:noProof/>
          <w:sz w:val="20"/>
          <w:szCs w:val="20"/>
        </w:rPr>
      </w:pPr>
      <w:r w:rsidRPr="00E765F3">
        <w:rPr>
          <w:rFonts w:cstheme="minorHAnsi"/>
          <w:sz w:val="20"/>
          <w:szCs w:val="20"/>
        </w:rPr>
        <w:fldChar w:fldCharType="begin" w:fldLock="1"/>
      </w:r>
      <w:r w:rsidRPr="00E765F3">
        <w:rPr>
          <w:rFonts w:cstheme="minorHAnsi"/>
          <w:sz w:val="20"/>
          <w:szCs w:val="20"/>
        </w:rPr>
        <w:instrText xml:space="preserve">ADDIN Mendeley Bibliography CSL_BIBLIOGRAPHY </w:instrText>
      </w:r>
      <w:r w:rsidRPr="00E765F3">
        <w:rPr>
          <w:rFonts w:cstheme="minorHAnsi"/>
          <w:sz w:val="20"/>
          <w:szCs w:val="20"/>
        </w:rPr>
        <w:fldChar w:fldCharType="separate"/>
      </w:r>
      <w:r w:rsidRPr="00E765F3">
        <w:rPr>
          <w:rFonts w:ascii="Calibri" w:hAnsi="Calibri" w:cs="Calibri"/>
          <w:noProof/>
          <w:sz w:val="20"/>
          <w:szCs w:val="20"/>
        </w:rPr>
        <w:t xml:space="preserve">Ketcham, R.A., Carter, A., Donelick, R.A., Barbarand, J. &amp; Hurford, A.J. 2007a. Improved measurement of fission-track annealing in apatite using c-axis projection. </w:t>
      </w:r>
      <w:r w:rsidRPr="00E765F3">
        <w:rPr>
          <w:rFonts w:ascii="Calibri" w:hAnsi="Calibri" w:cs="Calibri"/>
          <w:i/>
          <w:iCs/>
          <w:noProof/>
          <w:sz w:val="20"/>
          <w:szCs w:val="20"/>
        </w:rPr>
        <w:t>American Mineralogist</w:t>
      </w:r>
      <w:r w:rsidRPr="00E765F3">
        <w:rPr>
          <w:rFonts w:ascii="Calibri" w:hAnsi="Calibri" w:cs="Calibri"/>
          <w:noProof/>
          <w:sz w:val="20"/>
          <w:szCs w:val="20"/>
        </w:rPr>
        <w:t xml:space="preserve">, </w:t>
      </w:r>
      <w:r w:rsidRPr="00E765F3">
        <w:rPr>
          <w:rFonts w:ascii="Calibri" w:hAnsi="Calibri" w:cs="Calibri"/>
          <w:b/>
          <w:bCs/>
          <w:noProof/>
          <w:sz w:val="20"/>
          <w:szCs w:val="20"/>
        </w:rPr>
        <w:t>92</w:t>
      </w:r>
      <w:r w:rsidRPr="00E765F3">
        <w:rPr>
          <w:rFonts w:ascii="Calibri" w:hAnsi="Calibri" w:cs="Calibri"/>
          <w:noProof/>
          <w:sz w:val="20"/>
          <w:szCs w:val="20"/>
        </w:rPr>
        <w:t>, 789–798, https://doi.org/10.2138/am.2007.2280.</w:t>
      </w:r>
    </w:p>
    <w:p w:rsidR="00C24453" w:rsidRPr="00E765F3" w:rsidRDefault="00C24453" w:rsidP="00C24453">
      <w:pPr>
        <w:widowControl w:val="0"/>
        <w:autoSpaceDE w:val="0"/>
        <w:autoSpaceDN w:val="0"/>
        <w:adjustRightInd w:val="0"/>
        <w:spacing w:after="0" w:line="240" w:lineRule="auto"/>
        <w:ind w:left="480" w:hanging="480"/>
        <w:rPr>
          <w:rFonts w:ascii="Calibri" w:hAnsi="Calibri" w:cs="Calibri"/>
          <w:noProof/>
          <w:sz w:val="20"/>
          <w:szCs w:val="20"/>
        </w:rPr>
      </w:pPr>
      <w:r w:rsidRPr="00E765F3">
        <w:rPr>
          <w:rFonts w:ascii="Calibri" w:hAnsi="Calibri" w:cs="Calibri"/>
          <w:noProof/>
          <w:sz w:val="20"/>
          <w:szCs w:val="20"/>
        </w:rPr>
        <w:t xml:space="preserve">Ketcham, R.A., Carter, A., Donelick, R.A., Barbarand, J. &amp; Hurford, A.J. 2007b. Improved modeling of fission-track annealing in apatite. </w:t>
      </w:r>
      <w:r w:rsidRPr="00E765F3">
        <w:rPr>
          <w:rFonts w:ascii="Calibri" w:hAnsi="Calibri" w:cs="Calibri"/>
          <w:i/>
          <w:iCs/>
          <w:noProof/>
          <w:sz w:val="20"/>
          <w:szCs w:val="20"/>
        </w:rPr>
        <w:t>American Mineralogist</w:t>
      </w:r>
      <w:r w:rsidRPr="00E765F3">
        <w:rPr>
          <w:rFonts w:ascii="Calibri" w:hAnsi="Calibri" w:cs="Calibri"/>
          <w:noProof/>
          <w:sz w:val="20"/>
          <w:szCs w:val="20"/>
        </w:rPr>
        <w:t xml:space="preserve">, </w:t>
      </w:r>
      <w:r w:rsidRPr="00E765F3">
        <w:rPr>
          <w:rFonts w:ascii="Calibri" w:hAnsi="Calibri" w:cs="Calibri"/>
          <w:b/>
          <w:bCs/>
          <w:noProof/>
          <w:sz w:val="20"/>
          <w:szCs w:val="20"/>
        </w:rPr>
        <w:t>92</w:t>
      </w:r>
      <w:r w:rsidRPr="00E765F3">
        <w:rPr>
          <w:rFonts w:ascii="Calibri" w:hAnsi="Calibri" w:cs="Calibri"/>
          <w:noProof/>
          <w:sz w:val="20"/>
          <w:szCs w:val="20"/>
        </w:rPr>
        <w:t>, 799–810, https://doi.org/10.2138/am.2007.2281.</w:t>
      </w:r>
    </w:p>
    <w:p w:rsidR="00C24453" w:rsidRPr="00311908" w:rsidRDefault="00C24453" w:rsidP="00C24453">
      <w:pPr>
        <w:widowControl w:val="0"/>
        <w:autoSpaceDE w:val="0"/>
        <w:autoSpaceDN w:val="0"/>
        <w:adjustRightInd w:val="0"/>
        <w:spacing w:after="0" w:line="240" w:lineRule="auto"/>
        <w:ind w:left="480" w:hanging="480"/>
        <w:rPr>
          <w:rFonts w:ascii="Calibri" w:hAnsi="Calibri" w:cs="Calibri"/>
          <w:noProof/>
          <w:sz w:val="20"/>
          <w:szCs w:val="20"/>
          <w:lang w:val="nl-BE"/>
        </w:rPr>
      </w:pPr>
      <w:r w:rsidRPr="00E765F3">
        <w:rPr>
          <w:rFonts w:ascii="Calibri" w:hAnsi="Calibri" w:cs="Calibri"/>
          <w:noProof/>
          <w:sz w:val="20"/>
          <w:szCs w:val="20"/>
        </w:rPr>
        <w:lastRenderedPageBreak/>
        <w:t xml:space="preserve">Ketcham, R.A., Gautheron, C. &amp; Tassan-Got, L. 2011. Accounting for long alpha-particle stopping distances in (U-Th-Sm)/He geochronology: Refinement of the baseline case. </w:t>
      </w:r>
      <w:r w:rsidRPr="00311908">
        <w:rPr>
          <w:rFonts w:ascii="Calibri" w:hAnsi="Calibri" w:cs="Calibri"/>
          <w:i/>
          <w:iCs/>
          <w:noProof/>
          <w:sz w:val="20"/>
          <w:szCs w:val="20"/>
          <w:lang w:val="nl-BE"/>
        </w:rPr>
        <w:t>Geochimica et Cosmochimica Acta</w:t>
      </w:r>
      <w:r w:rsidRPr="00311908">
        <w:rPr>
          <w:rFonts w:ascii="Calibri" w:hAnsi="Calibri" w:cs="Calibri"/>
          <w:noProof/>
          <w:sz w:val="20"/>
          <w:szCs w:val="20"/>
          <w:lang w:val="nl-BE"/>
        </w:rPr>
        <w:t xml:space="preserve">, </w:t>
      </w:r>
      <w:r w:rsidRPr="00311908">
        <w:rPr>
          <w:rFonts w:ascii="Calibri" w:hAnsi="Calibri" w:cs="Calibri"/>
          <w:b/>
          <w:bCs/>
          <w:noProof/>
          <w:sz w:val="20"/>
          <w:szCs w:val="20"/>
          <w:lang w:val="nl-BE"/>
        </w:rPr>
        <w:t>75</w:t>
      </w:r>
      <w:r w:rsidRPr="00311908">
        <w:rPr>
          <w:rFonts w:ascii="Calibri" w:hAnsi="Calibri" w:cs="Calibri"/>
          <w:noProof/>
          <w:sz w:val="20"/>
          <w:szCs w:val="20"/>
          <w:lang w:val="nl-BE"/>
        </w:rPr>
        <w:t>, 7779–7791, https://doi.org/10.1016/j.gca.2011.10.011.</w:t>
      </w:r>
    </w:p>
    <w:p w:rsidR="00C24453" w:rsidRPr="00E765F3" w:rsidRDefault="00C24453" w:rsidP="00C24453">
      <w:pPr>
        <w:widowControl w:val="0"/>
        <w:autoSpaceDE w:val="0"/>
        <w:autoSpaceDN w:val="0"/>
        <w:adjustRightInd w:val="0"/>
        <w:spacing w:after="0" w:line="240" w:lineRule="auto"/>
        <w:ind w:left="480" w:hanging="480"/>
        <w:rPr>
          <w:rFonts w:ascii="Calibri" w:hAnsi="Calibri" w:cs="Calibri"/>
          <w:noProof/>
          <w:sz w:val="20"/>
          <w:szCs w:val="20"/>
        </w:rPr>
      </w:pPr>
      <w:r w:rsidRPr="00311908">
        <w:rPr>
          <w:rFonts w:ascii="Calibri" w:hAnsi="Calibri" w:cs="Calibri"/>
          <w:noProof/>
          <w:sz w:val="20"/>
          <w:szCs w:val="20"/>
          <w:lang w:val="nl-BE"/>
        </w:rPr>
        <w:t xml:space="preserve">Nachtergaele, S., De Pelsmaeker, E., et al. 2018. </w:t>
      </w:r>
      <w:r w:rsidRPr="00E765F3">
        <w:rPr>
          <w:rFonts w:ascii="Calibri" w:hAnsi="Calibri" w:cs="Calibri"/>
          <w:noProof/>
          <w:sz w:val="20"/>
          <w:szCs w:val="20"/>
        </w:rPr>
        <w:t xml:space="preserve">Meso-Cenozoic tectonic evolution of the Talas-Fergana region of the Kyrgyz Tien Shan revealed by low-temperature basement and detrital thermochronology. </w:t>
      </w:r>
      <w:r w:rsidRPr="00E765F3">
        <w:rPr>
          <w:rFonts w:ascii="Calibri" w:hAnsi="Calibri" w:cs="Calibri"/>
          <w:i/>
          <w:iCs/>
          <w:noProof/>
          <w:sz w:val="20"/>
          <w:szCs w:val="20"/>
        </w:rPr>
        <w:t>Geoscience Frontiers</w:t>
      </w:r>
      <w:r w:rsidRPr="00E765F3">
        <w:rPr>
          <w:rFonts w:ascii="Calibri" w:hAnsi="Calibri" w:cs="Calibri"/>
          <w:noProof/>
          <w:sz w:val="20"/>
          <w:szCs w:val="20"/>
        </w:rPr>
        <w:t xml:space="preserve">, </w:t>
      </w:r>
      <w:r w:rsidRPr="00E765F3">
        <w:rPr>
          <w:rFonts w:ascii="Calibri" w:hAnsi="Calibri" w:cs="Calibri"/>
          <w:b/>
          <w:bCs/>
          <w:noProof/>
          <w:sz w:val="20"/>
          <w:szCs w:val="20"/>
        </w:rPr>
        <w:t>9</w:t>
      </w:r>
      <w:r w:rsidRPr="00E765F3">
        <w:rPr>
          <w:rFonts w:ascii="Calibri" w:hAnsi="Calibri" w:cs="Calibri"/>
          <w:noProof/>
          <w:sz w:val="20"/>
          <w:szCs w:val="20"/>
        </w:rPr>
        <w:t>, 1495–1514, https://doi.org/10.1016/J.GSF.2017.11.007.</w:t>
      </w:r>
    </w:p>
    <w:p w:rsidR="00C24453" w:rsidRPr="00E765F3" w:rsidRDefault="00C24453" w:rsidP="00C24453">
      <w:pPr>
        <w:widowControl w:val="0"/>
        <w:autoSpaceDE w:val="0"/>
        <w:autoSpaceDN w:val="0"/>
        <w:adjustRightInd w:val="0"/>
        <w:spacing w:after="0" w:line="240" w:lineRule="auto"/>
        <w:ind w:left="480" w:hanging="480"/>
        <w:rPr>
          <w:rFonts w:ascii="Calibri" w:hAnsi="Calibri" w:cs="Calibri"/>
          <w:noProof/>
          <w:sz w:val="20"/>
          <w:szCs w:val="20"/>
        </w:rPr>
      </w:pPr>
      <w:r w:rsidRPr="00E765F3">
        <w:rPr>
          <w:rFonts w:cstheme="minorHAnsi"/>
          <w:sz w:val="20"/>
          <w:szCs w:val="20"/>
        </w:rPr>
        <w:t xml:space="preserve">Van Ranst, G., Pedrosa-Soares, A.C., Novo, T., Vermeesch, P., De Grave, J. (re-submitted). New insights from low-temperature thermochronology into the tectonic and geomorphologic evolution of the southeast Brazilian highlands and passive margin. </w:t>
      </w:r>
      <w:r w:rsidRPr="00E765F3">
        <w:rPr>
          <w:rFonts w:cstheme="minorHAnsi"/>
          <w:i/>
          <w:sz w:val="20"/>
          <w:szCs w:val="20"/>
        </w:rPr>
        <w:t>Geoscience Frontiers</w:t>
      </w:r>
    </w:p>
    <w:p w:rsidR="00C24453" w:rsidRPr="00E765F3" w:rsidRDefault="00C24453" w:rsidP="00C24453">
      <w:pPr>
        <w:widowControl w:val="0"/>
        <w:autoSpaceDE w:val="0"/>
        <w:autoSpaceDN w:val="0"/>
        <w:adjustRightInd w:val="0"/>
        <w:spacing w:after="0" w:line="240" w:lineRule="auto"/>
        <w:ind w:left="480" w:hanging="480"/>
        <w:rPr>
          <w:rFonts w:ascii="Calibri" w:hAnsi="Calibri" w:cs="Calibri"/>
          <w:noProof/>
          <w:sz w:val="20"/>
          <w:szCs w:val="20"/>
        </w:rPr>
      </w:pPr>
      <w:r w:rsidRPr="00E765F3">
        <w:rPr>
          <w:rFonts w:ascii="Calibri" w:hAnsi="Calibri" w:cs="Calibri"/>
          <w:noProof/>
          <w:sz w:val="20"/>
          <w:szCs w:val="20"/>
        </w:rPr>
        <w:t xml:space="preserve">Wildman, M., Brown, R., et al. 2017. Contrasting Mesozoic evolution across the boundary between on and off craton regions of the South African plateau inferred from apatite fission track and (U-Th-Sm)/He thermochronology. </w:t>
      </w:r>
      <w:r w:rsidRPr="00E765F3">
        <w:rPr>
          <w:rFonts w:ascii="Calibri" w:hAnsi="Calibri" w:cs="Calibri"/>
          <w:i/>
          <w:iCs/>
          <w:noProof/>
          <w:sz w:val="20"/>
          <w:szCs w:val="20"/>
        </w:rPr>
        <w:t>Journal of Geophysical Research: Solid Earth</w:t>
      </w:r>
      <w:r w:rsidRPr="00E765F3">
        <w:rPr>
          <w:rFonts w:ascii="Calibri" w:hAnsi="Calibri" w:cs="Calibri"/>
          <w:noProof/>
          <w:sz w:val="20"/>
          <w:szCs w:val="20"/>
        </w:rPr>
        <w:t xml:space="preserve">, </w:t>
      </w:r>
      <w:r w:rsidRPr="00E765F3">
        <w:rPr>
          <w:rFonts w:ascii="Calibri" w:hAnsi="Calibri" w:cs="Calibri"/>
          <w:b/>
          <w:bCs/>
          <w:noProof/>
          <w:sz w:val="20"/>
          <w:szCs w:val="20"/>
        </w:rPr>
        <w:t>122</w:t>
      </w:r>
      <w:r w:rsidRPr="00E765F3">
        <w:rPr>
          <w:rFonts w:ascii="Calibri" w:hAnsi="Calibri" w:cs="Calibri"/>
          <w:noProof/>
          <w:sz w:val="20"/>
          <w:szCs w:val="20"/>
        </w:rPr>
        <w:t>, 1517–1547, https://doi.org/10.1002/2016JB013478.</w:t>
      </w:r>
    </w:p>
    <w:p w:rsidR="001A14BB" w:rsidRPr="00E765F3" w:rsidRDefault="00C24453" w:rsidP="00CA437D">
      <w:pPr>
        <w:spacing w:after="0"/>
        <w:rPr>
          <w:rFonts w:cstheme="minorHAnsi"/>
          <w:sz w:val="20"/>
          <w:szCs w:val="20"/>
        </w:rPr>
      </w:pPr>
      <w:r w:rsidRPr="00E765F3">
        <w:rPr>
          <w:rFonts w:cstheme="minorHAnsi"/>
          <w:sz w:val="20"/>
          <w:szCs w:val="20"/>
        </w:rPr>
        <w:fldChar w:fldCharType="end"/>
      </w:r>
    </w:p>
    <w:sectPr w:rsidR="001A14BB" w:rsidRPr="00E765F3" w:rsidSect="00C244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DD" w:rsidRDefault="00257ADD">
      <w:pPr>
        <w:spacing w:after="0" w:line="240" w:lineRule="auto"/>
      </w:pPr>
      <w:r>
        <w:separator/>
      </w:r>
    </w:p>
  </w:endnote>
  <w:endnote w:type="continuationSeparator" w:id="0">
    <w:p w:rsidR="00257ADD" w:rsidRDefault="0025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DD" w:rsidRDefault="00257ADD">
      <w:pPr>
        <w:spacing w:after="0" w:line="240" w:lineRule="auto"/>
      </w:pPr>
      <w:r>
        <w:separator/>
      </w:r>
    </w:p>
  </w:footnote>
  <w:footnote w:type="continuationSeparator" w:id="0">
    <w:p w:rsidR="00257ADD" w:rsidRDefault="00257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1A5"/>
    <w:multiLevelType w:val="hybridMultilevel"/>
    <w:tmpl w:val="22488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7D"/>
    <w:rsid w:val="00164852"/>
    <w:rsid w:val="00257ADD"/>
    <w:rsid w:val="00311908"/>
    <w:rsid w:val="0053684B"/>
    <w:rsid w:val="006F1747"/>
    <w:rsid w:val="00C24453"/>
    <w:rsid w:val="00CA437D"/>
    <w:rsid w:val="00E76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DF5F"/>
  <w15:chartTrackingRefBased/>
  <w15:docId w15:val="{9F6F1907-72CE-48FF-8099-BA3E607A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437D"/>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437D"/>
    <w:pPr>
      <w:ind w:left="720"/>
      <w:contextualSpacing/>
    </w:pPr>
  </w:style>
  <w:style w:type="table" w:styleId="Tabelraster">
    <w:name w:val="Table Grid"/>
    <w:basedOn w:val="Standaardtabel"/>
    <w:rsid w:val="00CA43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A437D"/>
    <w:rPr>
      <w:sz w:val="16"/>
      <w:szCs w:val="16"/>
    </w:rPr>
  </w:style>
  <w:style w:type="paragraph" w:styleId="Tekstopmerking">
    <w:name w:val="annotation text"/>
    <w:basedOn w:val="Standaard"/>
    <w:link w:val="TekstopmerkingChar"/>
    <w:uiPriority w:val="99"/>
    <w:semiHidden/>
    <w:unhideWhenUsed/>
    <w:rsid w:val="00CA43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437D"/>
    <w:rPr>
      <w:sz w:val="20"/>
      <w:szCs w:val="20"/>
      <w:lang w:val="en-GB"/>
    </w:rPr>
  </w:style>
  <w:style w:type="character" w:styleId="Hyperlink">
    <w:name w:val="Hyperlink"/>
    <w:basedOn w:val="Standaardalinea-lettertype"/>
    <w:uiPriority w:val="99"/>
    <w:unhideWhenUsed/>
    <w:rsid w:val="00CA437D"/>
    <w:rPr>
      <w:color w:val="0563C1" w:themeColor="hyperlink"/>
      <w:u w:val="single"/>
    </w:rPr>
  </w:style>
  <w:style w:type="paragraph" w:styleId="Ballontekst">
    <w:name w:val="Balloon Text"/>
    <w:basedOn w:val="Standaard"/>
    <w:link w:val="BallontekstChar"/>
    <w:uiPriority w:val="99"/>
    <w:semiHidden/>
    <w:unhideWhenUsed/>
    <w:rsid w:val="00CA43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437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ucfbpve/heliocal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D76F-3ABA-4F58-9784-930E3094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2844</Words>
  <Characters>16217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Nachtergaele</dc:creator>
  <cp:keywords/>
  <dc:description/>
  <cp:lastModifiedBy>Simon Nachtergaele</cp:lastModifiedBy>
  <cp:revision>4</cp:revision>
  <dcterms:created xsi:type="dcterms:W3CDTF">2019-05-08T14:29:00Z</dcterms:created>
  <dcterms:modified xsi:type="dcterms:W3CDTF">2019-05-09T08:09:00Z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http://www.zotero.org/styles/gondwana-research</vt:lpwstr>
  </property>
  <property fmtid="{D5CDD505-2E9C-101B-9397-08002B2CF9AE}" pid="9" name="Mendeley Recent Style Name 3_1">
    <vt:lpwstr>Gondwana Research</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http://www.zotero.org/styles/journal-of-asian-earth-sciences</vt:lpwstr>
  </property>
  <property fmtid="{D5CDD505-2E9C-101B-9397-08002B2CF9AE}" pid="13" name="Mendeley Recent Style Name 5_1">
    <vt:lpwstr>Journal of Asian Earth Sciences</vt:lpwstr>
  </property>
  <property fmtid="{D5CDD505-2E9C-101B-9397-08002B2CF9AE}" pid="14" name="Mendeley Recent Style Id 6_1">
    <vt:lpwstr>http://www.zotero.org/styles/journal-of-the-geological-society</vt:lpwstr>
  </property>
  <property fmtid="{D5CDD505-2E9C-101B-9397-08002B2CF9AE}" pid="15" name="Mendeley Recent Style Name 6_1">
    <vt:lpwstr>Journal of the Geological Society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93bb71ec-3b1d-3ed7-9c23-f678d8182ef0</vt:lpwstr>
  </property>
  <property fmtid="{D5CDD505-2E9C-101B-9397-08002B2CF9AE}" pid="24" name="Mendeley Citation Style_1">
    <vt:lpwstr>http://www.zotero.org/styles/journal-of-the-geological-society</vt:lpwstr>
  </property>
</Properties>
</file>