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96C8" w14:textId="0F2C0342" w:rsidR="00DD166D" w:rsidRPr="00DD166D" w:rsidRDefault="00DD166D" w:rsidP="00DD166D">
      <w:pPr>
        <w:spacing w:line="276" w:lineRule="auto"/>
        <w:rPr>
          <w:b/>
          <w:sz w:val="28"/>
        </w:rPr>
      </w:pPr>
      <w:r w:rsidRPr="00DD166D">
        <w:rPr>
          <w:b/>
          <w:sz w:val="28"/>
        </w:rPr>
        <w:t>Transpression and the build</w:t>
      </w:r>
      <w:r w:rsidR="00D87A00">
        <w:rPr>
          <w:b/>
          <w:sz w:val="28"/>
        </w:rPr>
        <w:t>-</w:t>
      </w:r>
      <w:r w:rsidRPr="00DD166D">
        <w:rPr>
          <w:b/>
          <w:sz w:val="28"/>
        </w:rPr>
        <w:t>up of the Cordillera: the example of the Bucaramanga fault (Eastern Cordillera, Colombia).</w:t>
      </w:r>
    </w:p>
    <w:p w14:paraId="4DB5A80F" w14:textId="77777777" w:rsidR="00A509D7" w:rsidRPr="00BB2D48" w:rsidRDefault="00A509D7" w:rsidP="005D5090">
      <w:pPr>
        <w:ind w:firstLine="284"/>
        <w:rPr>
          <w:rFonts w:eastAsia="Times New Roman" w:cs="Times New Roman"/>
          <w:lang w:eastAsia="it-IT"/>
        </w:rPr>
      </w:pPr>
      <w:r w:rsidRPr="00BB2D48">
        <w:rPr>
          <w:rFonts w:eastAsia="Times New Roman" w:cs="Times New Roman"/>
          <w:lang w:eastAsia="it-IT"/>
        </w:rPr>
        <w:t xml:space="preserve">The supplementary materials contain methodological information on the thermochronologic procedures. </w:t>
      </w:r>
    </w:p>
    <w:p w14:paraId="14C139D4" w14:textId="77777777" w:rsidR="005B7D20" w:rsidRPr="00BB2D48" w:rsidRDefault="005B7D20" w:rsidP="00A509D7">
      <w:pPr>
        <w:ind w:firstLine="709"/>
        <w:rPr>
          <w:rFonts w:cs="Times New Roman"/>
        </w:rPr>
      </w:pPr>
    </w:p>
    <w:p w14:paraId="11CC647D" w14:textId="77777777" w:rsidR="00490C9B" w:rsidRPr="00BB2D48" w:rsidRDefault="00A80ABC" w:rsidP="00490C9B">
      <w:pPr>
        <w:rPr>
          <w:rFonts w:cs="Times New Roman"/>
          <w:b/>
        </w:rPr>
      </w:pPr>
      <w:r w:rsidRPr="00BB2D48">
        <w:rPr>
          <w:rFonts w:cs="Times New Roman"/>
          <w:b/>
        </w:rPr>
        <w:t>S1</w:t>
      </w:r>
      <w:r w:rsidR="002C2034" w:rsidRPr="00BB2D48">
        <w:rPr>
          <w:rFonts w:cs="Times New Roman"/>
          <w:b/>
        </w:rPr>
        <w:t>. Low-T thermochronology</w:t>
      </w:r>
      <w:r w:rsidR="00490C9B" w:rsidRPr="00BB2D48">
        <w:rPr>
          <w:rFonts w:cs="Times New Roman"/>
          <w:b/>
        </w:rPr>
        <w:t xml:space="preserve"> </w:t>
      </w:r>
    </w:p>
    <w:p w14:paraId="6F33F12C" w14:textId="6937D9BD" w:rsidR="00490C9B" w:rsidRPr="00BB2D48" w:rsidRDefault="00490C9B" w:rsidP="00490C9B">
      <w:pPr>
        <w:rPr>
          <w:rFonts w:cs="Times New Roman"/>
          <w:b/>
        </w:rPr>
      </w:pPr>
      <w:r w:rsidRPr="00BB2D48">
        <w:rPr>
          <w:rFonts w:cs="Times New Roman"/>
          <w:b/>
        </w:rPr>
        <w:t>S1.1 Zircon (U-Th)/He (ZHe) sample preparation and analytical techniques</w:t>
      </w:r>
    </w:p>
    <w:p w14:paraId="36B818F9" w14:textId="78A10713" w:rsidR="00490C9B" w:rsidRPr="00BB2D48" w:rsidRDefault="00490C9B" w:rsidP="00490C9B">
      <w:pPr>
        <w:spacing w:after="0"/>
        <w:ind w:firstLine="284"/>
        <w:rPr>
          <w:rFonts w:cs="Times New Roman"/>
        </w:rPr>
      </w:pPr>
      <w:r w:rsidRPr="00BB2D48">
        <w:rPr>
          <w:rFonts w:cs="Times New Roman"/>
        </w:rPr>
        <w:t xml:space="preserve">We selected tetragonal prism zircons that are undamaged, clear, </w:t>
      </w:r>
      <w:r w:rsidR="00D87A00">
        <w:rPr>
          <w:rFonts w:cs="Times New Roman"/>
        </w:rPr>
        <w:t xml:space="preserve">and </w:t>
      </w:r>
      <w:r w:rsidRPr="00BB2D48">
        <w:rPr>
          <w:rFonts w:cs="Times New Roman"/>
        </w:rPr>
        <w:t>free of inclusions, with a width of at least 60 μm and with a total length much larger than the sum of the tip heights. Each grain was photographed to measure its dimension (length, width, thickness, tip height) for the FT factor calculation follo</w:t>
      </w:r>
      <w:bookmarkStart w:id="0" w:name="_GoBack"/>
      <w:bookmarkEnd w:id="0"/>
      <w:r w:rsidRPr="00BB2D48">
        <w:rPr>
          <w:rFonts w:cs="Times New Roman"/>
        </w:rPr>
        <w:t xml:space="preserve">wing Ketcham et al. (2011). Grains were wrapped in Pt foil and loaded into </w:t>
      </w:r>
      <w:r w:rsidR="00982950">
        <w:rPr>
          <w:rFonts w:cs="Times New Roman"/>
        </w:rPr>
        <w:t>an evacuated</w:t>
      </w:r>
      <w:r w:rsidR="00982950" w:rsidRPr="00BB2D48">
        <w:rPr>
          <w:rFonts w:cs="Times New Roman"/>
        </w:rPr>
        <w:t xml:space="preserve"> </w:t>
      </w:r>
      <w:r w:rsidRPr="00BB2D48">
        <w:rPr>
          <w:rFonts w:cs="Times New Roman"/>
        </w:rPr>
        <w:t xml:space="preserve">laser chamber. </w:t>
      </w:r>
      <w:r w:rsidRPr="00BB2D48">
        <w:rPr>
          <w:rFonts w:cs="Times New Roman"/>
          <w:vertAlign w:val="superscript"/>
        </w:rPr>
        <w:t>4</w:t>
      </w:r>
      <w:r w:rsidRPr="00BB2D48">
        <w:rPr>
          <w:rFonts w:cs="Times New Roman"/>
        </w:rPr>
        <w:t>He abundances for each grain were determined by degassing with a diode laser at 1075 °C for 45 minutes and measuring the released gas on a magnet sector</w:t>
      </w:r>
      <w:r w:rsidR="00D87A00">
        <w:rPr>
          <w:rFonts w:cs="Times New Roman"/>
        </w:rPr>
        <w:t>-</w:t>
      </w:r>
      <w:r w:rsidRPr="00BB2D48">
        <w:rPr>
          <w:rFonts w:cs="Times New Roman"/>
        </w:rPr>
        <w:t xml:space="preserve">field mass spectrometer equipped with a Baur-Signer ion source at ETH Zürich. For grains with large amounts of </w:t>
      </w:r>
      <w:r w:rsidR="00F60359" w:rsidRPr="00BB2D48">
        <w:rPr>
          <w:rFonts w:cs="Times New Roman"/>
          <w:vertAlign w:val="superscript"/>
        </w:rPr>
        <w:t>4</w:t>
      </w:r>
      <w:r w:rsidR="00F60359" w:rsidRPr="00BB2D48">
        <w:rPr>
          <w:rFonts w:cs="Times New Roman"/>
        </w:rPr>
        <w:t>He</w:t>
      </w:r>
      <w:r w:rsidRPr="00BB2D48">
        <w:rPr>
          <w:rFonts w:cs="Times New Roman"/>
        </w:rPr>
        <w:t xml:space="preserve">, second and third extractions were performed at progressively higher temperatures. The baseline-corrected ion beam intensities are plotted against time and extrapolated back to the time of sample gas inlet into the mass-spectrometer in order to calculate signal intensities of all species at that time. The detected </w:t>
      </w:r>
      <w:r w:rsidR="00F60359" w:rsidRPr="00BB2D48">
        <w:rPr>
          <w:rFonts w:cs="Times New Roman"/>
          <w:vertAlign w:val="superscript"/>
        </w:rPr>
        <w:t>4</w:t>
      </w:r>
      <w:r w:rsidR="00F60359" w:rsidRPr="00BB2D48">
        <w:rPr>
          <w:rFonts w:cs="Times New Roman"/>
        </w:rPr>
        <w:t>He</w:t>
      </w:r>
      <w:r w:rsidRPr="00BB2D48">
        <w:rPr>
          <w:rFonts w:cs="Times New Roman"/>
        </w:rPr>
        <w:t xml:space="preserve"> amounts are then calculated by comparing blank-corrected sample measurements to the identical analyses of well-known amounts of </w:t>
      </w:r>
      <w:r w:rsidRPr="003E3F2E">
        <w:rPr>
          <w:rFonts w:cs="Times New Roman"/>
          <w:vertAlign w:val="superscript"/>
        </w:rPr>
        <w:t>4</w:t>
      </w:r>
      <w:r w:rsidRPr="00BB2D48">
        <w:rPr>
          <w:rFonts w:cs="Times New Roman"/>
        </w:rPr>
        <w:t>He from standard bottle gas. To measure the parent nuclide contents of degassed zircons, grains were retrieved from the Pt foils, transferred to Teflon vials</w:t>
      </w:r>
      <w:r w:rsidR="00D87A00">
        <w:rPr>
          <w:rFonts w:cs="Times New Roman"/>
        </w:rPr>
        <w:t>,</w:t>
      </w:r>
      <w:r w:rsidRPr="00BB2D48">
        <w:rPr>
          <w:rFonts w:cs="Times New Roman"/>
        </w:rPr>
        <w:t xml:space="preserve"> and finally spiked with an isotopically distinct U-Th solution. Zircon</w:t>
      </w:r>
      <w:r w:rsidR="00D87A00">
        <w:rPr>
          <w:rFonts w:cs="Times New Roman"/>
        </w:rPr>
        <w:t>-spike pairs</w:t>
      </w:r>
      <w:r w:rsidRPr="00BB2D48">
        <w:rPr>
          <w:rFonts w:cs="Times New Roman"/>
        </w:rPr>
        <w:t xml:space="preserve"> were dissolved </w:t>
      </w:r>
      <w:r w:rsidR="00D87A00">
        <w:rPr>
          <w:rFonts w:cs="Times New Roman"/>
        </w:rPr>
        <w:t>in</w:t>
      </w:r>
      <w:r w:rsidRPr="00BB2D48">
        <w:rPr>
          <w:rFonts w:cs="Times New Roman"/>
        </w:rPr>
        <w:t xml:space="preserve"> concentrated HF at 225 °C for 72 hours</w:t>
      </w:r>
      <w:r w:rsidR="00D87A00">
        <w:rPr>
          <w:rFonts w:cs="Times New Roman"/>
        </w:rPr>
        <w:t xml:space="preserve"> in Parbombs</w:t>
      </w:r>
      <w:r w:rsidRPr="00BB2D48">
        <w:rPr>
          <w:rFonts w:cs="Times New Roman"/>
        </w:rPr>
        <w:t xml:space="preserve">. </w:t>
      </w:r>
      <w:r w:rsidR="00D87A00">
        <w:rPr>
          <w:rFonts w:cs="Times New Roman"/>
        </w:rPr>
        <w:t xml:space="preserve">A second Parbomb step </w:t>
      </w:r>
      <w:r w:rsidRPr="00BB2D48">
        <w:rPr>
          <w:rFonts w:cs="Times New Roman"/>
        </w:rPr>
        <w:t xml:space="preserve">in HCl at 200 °C for 24 hours </w:t>
      </w:r>
      <w:r w:rsidR="00D87A00">
        <w:rPr>
          <w:rFonts w:cs="Times New Roman"/>
        </w:rPr>
        <w:t xml:space="preserve">we needed </w:t>
      </w:r>
      <w:r w:rsidRPr="00BB2D48">
        <w:rPr>
          <w:rFonts w:cs="Times New Roman"/>
        </w:rPr>
        <w:t>to dissolve refractory fluorides salts. U and Th concentrations were measured on an inductively coupled plasma mass spectrometer at ETH Z</w:t>
      </w:r>
      <w:r w:rsidR="00D87A00">
        <w:rPr>
          <w:rFonts w:cs="Times New Roman"/>
        </w:rPr>
        <w:t>u</w:t>
      </w:r>
      <w:r w:rsidRPr="00BB2D48">
        <w:rPr>
          <w:rFonts w:cs="Times New Roman"/>
        </w:rPr>
        <w:t xml:space="preserve">rich (ElementXR). </w:t>
      </w:r>
    </w:p>
    <w:p w14:paraId="4FA2E930" w14:textId="7110A7C3" w:rsidR="00490C9B" w:rsidRPr="00BB2D48" w:rsidRDefault="00F60359" w:rsidP="00490C9B">
      <w:pPr>
        <w:spacing w:after="0"/>
        <w:ind w:firstLine="284"/>
        <w:rPr>
          <w:rFonts w:cs="Times New Roman"/>
        </w:rPr>
      </w:pPr>
      <w:r w:rsidRPr="00BB2D48">
        <w:rPr>
          <w:rFonts w:cs="Times New Roman"/>
        </w:rPr>
        <w:t>In this study w</w:t>
      </w:r>
      <w:r w:rsidR="00490C9B" w:rsidRPr="00BB2D48">
        <w:rPr>
          <w:rFonts w:cs="Times New Roman"/>
        </w:rPr>
        <w:t xml:space="preserve">e provide </w:t>
      </w:r>
      <w:r w:rsidRPr="00BB2D48">
        <w:rPr>
          <w:rFonts w:cs="Times New Roman"/>
        </w:rPr>
        <w:t xml:space="preserve">twenty </w:t>
      </w:r>
      <w:r w:rsidR="00490C9B" w:rsidRPr="00BB2D48">
        <w:rPr>
          <w:rFonts w:cs="Times New Roman"/>
        </w:rPr>
        <w:t xml:space="preserve">new ZHe samples that were dated together with twelve zircons from the age standard Fish Canyon Tuff, which gave a mean </w:t>
      </w:r>
      <w:r w:rsidR="00445F0B">
        <w:rPr>
          <w:rFonts w:cs="Times New Roman"/>
        </w:rPr>
        <w:t>age of 27.8±0.9 Ma (1σ, Table S1</w:t>
      </w:r>
      <w:r w:rsidR="00490C9B" w:rsidRPr="00BB2D48">
        <w:rPr>
          <w:rFonts w:cs="Times New Roman"/>
        </w:rPr>
        <w:t>).</w:t>
      </w:r>
    </w:p>
    <w:p w14:paraId="3B90B2F8" w14:textId="77777777" w:rsidR="002C2034" w:rsidRPr="00BB2D48" w:rsidRDefault="002C2034" w:rsidP="002C2034">
      <w:pPr>
        <w:spacing w:after="0"/>
        <w:ind w:firstLine="284"/>
        <w:rPr>
          <w:rFonts w:cs="Times New Roman"/>
        </w:rPr>
      </w:pPr>
    </w:p>
    <w:p w14:paraId="392EB2CE" w14:textId="157241FA" w:rsidR="002C2034" w:rsidRPr="00BB2D48" w:rsidRDefault="00A80ABC" w:rsidP="002C2034">
      <w:pPr>
        <w:spacing w:after="0"/>
        <w:ind w:firstLine="284"/>
        <w:rPr>
          <w:rFonts w:cs="Times New Roman"/>
          <w:b/>
        </w:rPr>
      </w:pPr>
      <w:r w:rsidRPr="00BB2D48">
        <w:rPr>
          <w:rFonts w:cs="Times New Roman"/>
          <w:b/>
        </w:rPr>
        <w:t>S1</w:t>
      </w:r>
      <w:r w:rsidR="00490C9B" w:rsidRPr="00BB2D48">
        <w:rPr>
          <w:rFonts w:cs="Times New Roman"/>
          <w:b/>
        </w:rPr>
        <w:t>.</w:t>
      </w:r>
      <w:r w:rsidR="005B5698">
        <w:rPr>
          <w:rFonts w:cs="Times New Roman"/>
          <w:b/>
        </w:rPr>
        <w:t>1.1</w:t>
      </w:r>
      <w:r w:rsidR="002C2034" w:rsidRPr="00BB2D48">
        <w:rPr>
          <w:rFonts w:cs="Times New Roman"/>
          <w:b/>
        </w:rPr>
        <w:t xml:space="preserve"> Radiation damage, U-Th zonation</w:t>
      </w:r>
      <w:r w:rsidR="00B1247D">
        <w:rPr>
          <w:rFonts w:cs="Times New Roman"/>
          <w:b/>
        </w:rPr>
        <w:t>,</w:t>
      </w:r>
      <w:r w:rsidR="002C2034" w:rsidRPr="00BB2D48">
        <w:rPr>
          <w:rFonts w:cs="Times New Roman"/>
          <w:b/>
        </w:rPr>
        <w:t xml:space="preserve"> and grain size</w:t>
      </w:r>
    </w:p>
    <w:p w14:paraId="0069E1D4" w14:textId="3CF184EF" w:rsidR="00B1247D" w:rsidRDefault="00ED5062" w:rsidP="002C2034">
      <w:pPr>
        <w:spacing w:after="0"/>
        <w:ind w:firstLine="284"/>
        <w:rPr>
          <w:rFonts w:cs="Times New Roman"/>
        </w:rPr>
      </w:pPr>
      <w:r>
        <w:rPr>
          <w:rFonts w:cs="Times New Roman"/>
        </w:rPr>
        <w:t>T</w:t>
      </w:r>
      <w:r w:rsidR="002C2034" w:rsidRPr="00BB2D48">
        <w:rPr>
          <w:rFonts w:cs="Times New Roman"/>
        </w:rPr>
        <w:t xml:space="preserve">he </w:t>
      </w:r>
      <w:r w:rsidR="003D6E7F" w:rsidRPr="00BB2D48">
        <w:rPr>
          <w:rFonts w:cs="Times New Roman"/>
        </w:rPr>
        <w:t>Z</w:t>
      </w:r>
      <w:r w:rsidR="00DA7A2E">
        <w:rPr>
          <w:rFonts w:cs="Times New Roman"/>
        </w:rPr>
        <w:t>He grain ages range between</w:t>
      </w:r>
      <w:r w:rsidR="002C2034" w:rsidRPr="00BB2D48">
        <w:rPr>
          <w:rFonts w:cs="Times New Roman"/>
        </w:rPr>
        <w:t xml:space="preserve"> </w:t>
      </w:r>
      <w:r w:rsidR="00C15113" w:rsidRPr="00BB2D48">
        <w:rPr>
          <w:rFonts w:cs="Times New Roman"/>
        </w:rPr>
        <w:t>11.6</w:t>
      </w:r>
      <w:r w:rsidR="00E96DFB" w:rsidRPr="00BB2D48">
        <w:rPr>
          <w:rFonts w:cs="Times New Roman"/>
        </w:rPr>
        <w:t xml:space="preserve"> Ma</w:t>
      </w:r>
      <w:r w:rsidR="00DA7A2E">
        <w:rPr>
          <w:rFonts w:cs="Times New Roman"/>
        </w:rPr>
        <w:t xml:space="preserve"> and </w:t>
      </w:r>
      <w:r w:rsidR="00DA7A2E" w:rsidRPr="00BB2D48">
        <w:rPr>
          <w:rFonts w:cs="Times New Roman"/>
        </w:rPr>
        <w:t>402 Ma</w:t>
      </w:r>
      <w:r w:rsidR="00E96DFB" w:rsidRPr="00BB2D48">
        <w:rPr>
          <w:rFonts w:cs="Times New Roman"/>
        </w:rPr>
        <w:t xml:space="preserve"> (Fig. S1)</w:t>
      </w:r>
      <w:r>
        <w:rPr>
          <w:rFonts w:cs="Times New Roman"/>
        </w:rPr>
        <w:t xml:space="preserve"> and they give mean ages from</w:t>
      </w:r>
      <w:r w:rsidRPr="00BB2D48">
        <w:rPr>
          <w:rFonts w:cs="Times New Roman"/>
        </w:rPr>
        <w:t xml:space="preserve"> 12.5 Ma</w:t>
      </w:r>
      <w:r>
        <w:rPr>
          <w:rFonts w:cs="Times New Roman"/>
        </w:rPr>
        <w:t xml:space="preserve"> to </w:t>
      </w:r>
      <w:r w:rsidRPr="00BB2D48">
        <w:rPr>
          <w:rFonts w:cs="Times New Roman"/>
        </w:rPr>
        <w:t>333 Ma</w:t>
      </w:r>
      <w:r w:rsidR="00E96DFB" w:rsidRPr="00BB2D48">
        <w:rPr>
          <w:rFonts w:cs="Times New Roman"/>
        </w:rPr>
        <w:t>. ZHe ages younger than the rock formation age</w:t>
      </w:r>
      <w:r w:rsidR="00B1247D">
        <w:rPr>
          <w:rFonts w:cs="Times New Roman"/>
        </w:rPr>
        <w:t>s</w:t>
      </w:r>
      <w:r w:rsidR="00E96DFB" w:rsidRPr="00BB2D48">
        <w:rPr>
          <w:rFonts w:cs="Times New Roman"/>
        </w:rPr>
        <w:t xml:space="preserve"> are considered to be reset, and therefore contain information on the thermal history of the sample. ZHe ages older than the rock formation age are instead not reset.</w:t>
      </w:r>
      <w:r w:rsidR="00DA7A2E">
        <w:rPr>
          <w:rFonts w:cs="Times New Roman"/>
        </w:rPr>
        <w:t xml:space="preserve"> ZHe ages that overlap or are very near to the age of formation of the sampled rock are </w:t>
      </w:r>
      <w:r w:rsidR="00DA7A2E">
        <w:rPr>
          <w:rFonts w:cs="Times New Roman"/>
        </w:rPr>
        <w:lastRenderedPageBreak/>
        <w:t>partially reset.</w:t>
      </w:r>
      <w:r w:rsidR="00E96DFB" w:rsidRPr="00BB2D48">
        <w:rPr>
          <w:rFonts w:cs="Times New Roman"/>
        </w:rPr>
        <w:t xml:space="preserve"> Figure S1 show</w:t>
      </w:r>
      <w:r>
        <w:rPr>
          <w:rFonts w:cs="Times New Roman"/>
        </w:rPr>
        <w:t>s</w:t>
      </w:r>
      <w:r w:rsidR="00E96DFB" w:rsidRPr="00BB2D48">
        <w:rPr>
          <w:rFonts w:cs="Times New Roman"/>
        </w:rPr>
        <w:t xml:space="preserve"> the relation between single grain ZHe ages of our samples </w:t>
      </w:r>
      <w:r w:rsidR="00DA7A2E">
        <w:rPr>
          <w:rFonts w:cs="Times New Roman"/>
        </w:rPr>
        <w:t>versus</w:t>
      </w:r>
      <w:r w:rsidR="00E96DFB" w:rsidRPr="00BB2D48">
        <w:rPr>
          <w:rFonts w:cs="Times New Roman"/>
        </w:rPr>
        <w:t xml:space="preserve"> the rock age as </w:t>
      </w:r>
      <w:r>
        <w:rPr>
          <w:rFonts w:cs="Times New Roman"/>
        </w:rPr>
        <w:t>derived from previous studies</w:t>
      </w:r>
      <w:r w:rsidR="00E96DFB" w:rsidRPr="00BB2D48">
        <w:rPr>
          <w:rFonts w:cs="Times New Roman"/>
        </w:rPr>
        <w:t xml:space="preserve">. Most of the obtained </w:t>
      </w:r>
      <w:r w:rsidR="00D5348B">
        <w:rPr>
          <w:rFonts w:cs="Times New Roman"/>
        </w:rPr>
        <w:t xml:space="preserve">single grain </w:t>
      </w:r>
      <w:r w:rsidR="00E96DFB" w:rsidRPr="00BB2D48">
        <w:rPr>
          <w:rFonts w:cs="Times New Roman"/>
        </w:rPr>
        <w:t>ages (</w:t>
      </w:r>
      <w:r w:rsidR="0056473C" w:rsidRPr="00BB2D48">
        <w:rPr>
          <w:rFonts w:cs="Times New Roman"/>
        </w:rPr>
        <w:t xml:space="preserve">85 </w:t>
      </w:r>
      <w:r w:rsidR="00E96DFB" w:rsidRPr="00BB2D48">
        <w:rPr>
          <w:rFonts w:cs="Times New Roman"/>
        </w:rPr>
        <w:t>%) are younger than the formation age and</w:t>
      </w:r>
      <w:r w:rsidR="00B1247D">
        <w:rPr>
          <w:rFonts w:cs="Times New Roman"/>
        </w:rPr>
        <w:t>,</w:t>
      </w:r>
      <w:r w:rsidR="00E96DFB" w:rsidRPr="00BB2D48">
        <w:rPr>
          <w:rFonts w:cs="Times New Roman"/>
        </w:rPr>
        <w:t xml:space="preserve"> thus</w:t>
      </w:r>
      <w:r w:rsidR="00B1247D">
        <w:rPr>
          <w:rFonts w:cs="Times New Roman"/>
        </w:rPr>
        <w:t>,</w:t>
      </w:r>
      <w:r w:rsidR="00E96DFB" w:rsidRPr="00BB2D48">
        <w:rPr>
          <w:rFonts w:cs="Times New Roman"/>
        </w:rPr>
        <w:t xml:space="preserve"> are reset</w:t>
      </w:r>
      <w:r w:rsidR="00DA7A2E">
        <w:rPr>
          <w:rFonts w:cs="Times New Roman"/>
        </w:rPr>
        <w:t xml:space="preserve"> (samples CG</w:t>
      </w:r>
      <w:r w:rsidR="00DF07FA">
        <w:rPr>
          <w:rFonts w:cs="Times New Roman"/>
        </w:rPr>
        <w:t>36</w:t>
      </w:r>
      <w:r w:rsidR="00DA7A2E">
        <w:rPr>
          <w:rFonts w:cs="Times New Roman"/>
        </w:rPr>
        <w:t>, CG</w:t>
      </w:r>
      <w:r w:rsidR="00D5348B">
        <w:rPr>
          <w:rFonts w:cs="Times New Roman"/>
        </w:rPr>
        <w:t>42</w:t>
      </w:r>
      <w:r w:rsidR="00DA7A2E">
        <w:rPr>
          <w:rFonts w:cs="Times New Roman"/>
        </w:rPr>
        <w:t>,</w:t>
      </w:r>
      <w:r w:rsidR="00D5348B">
        <w:rPr>
          <w:rFonts w:cs="Times New Roman"/>
        </w:rPr>
        <w:t xml:space="preserve"> CG43, CG67</w:t>
      </w:r>
      <w:r w:rsidR="00B1247D">
        <w:rPr>
          <w:rFonts w:cs="Times New Roman"/>
        </w:rPr>
        <w:t>,</w:t>
      </w:r>
      <w:r w:rsidR="00D5348B">
        <w:rPr>
          <w:rFonts w:cs="Times New Roman"/>
        </w:rPr>
        <w:t xml:space="preserve"> CG68</w:t>
      </w:r>
      <w:r w:rsidR="00B1247D">
        <w:rPr>
          <w:rFonts w:cs="Times New Roman"/>
        </w:rPr>
        <w:t>, and</w:t>
      </w:r>
      <w:r w:rsidR="00D5348B">
        <w:rPr>
          <w:rFonts w:cs="Times New Roman"/>
        </w:rPr>
        <w:t xml:space="preserve"> CG69</w:t>
      </w:r>
      <w:r w:rsidR="00DA7A2E">
        <w:rPr>
          <w:rFonts w:cs="Times New Roman"/>
        </w:rPr>
        <w:t>)</w:t>
      </w:r>
      <w:r w:rsidR="00D5348B">
        <w:rPr>
          <w:rFonts w:cs="Times New Roman"/>
        </w:rPr>
        <w:t xml:space="preserve">. </w:t>
      </w:r>
      <w:r w:rsidR="00B1247D">
        <w:rPr>
          <w:rFonts w:cs="Times New Roman"/>
        </w:rPr>
        <w:t>Only t</w:t>
      </w:r>
      <w:r w:rsidR="00D5348B">
        <w:rPr>
          <w:rFonts w:cs="Times New Roman"/>
        </w:rPr>
        <w:t xml:space="preserve">he mean ages of these samples </w:t>
      </w:r>
      <w:r w:rsidR="00E96DFB" w:rsidRPr="00BB2D48">
        <w:rPr>
          <w:rFonts w:cs="Times New Roman"/>
        </w:rPr>
        <w:t>are used to calculate erosion rates</w:t>
      </w:r>
      <w:r>
        <w:rPr>
          <w:rFonts w:cs="Times New Roman"/>
        </w:rPr>
        <w:t xml:space="preserve"> and</w:t>
      </w:r>
      <w:r w:rsidR="00E96DFB" w:rsidRPr="00BB2D48">
        <w:rPr>
          <w:rFonts w:cs="Times New Roman"/>
        </w:rPr>
        <w:t xml:space="preserve"> </w:t>
      </w:r>
      <w:r>
        <w:rPr>
          <w:rFonts w:cs="Times New Roman"/>
        </w:rPr>
        <w:t xml:space="preserve">the </w:t>
      </w:r>
      <w:r w:rsidR="00E96DFB" w:rsidRPr="00BB2D48">
        <w:rPr>
          <w:rFonts w:cs="Times New Roman"/>
        </w:rPr>
        <w:t>no</w:t>
      </w:r>
      <w:r>
        <w:rPr>
          <w:rFonts w:cs="Times New Roman"/>
        </w:rPr>
        <w:t>n-</w:t>
      </w:r>
      <w:r w:rsidR="00E96DFB" w:rsidRPr="00BB2D48">
        <w:rPr>
          <w:rFonts w:cs="Times New Roman"/>
        </w:rPr>
        <w:t xml:space="preserve">reset </w:t>
      </w:r>
      <w:r>
        <w:rPr>
          <w:rFonts w:cs="Times New Roman"/>
        </w:rPr>
        <w:t>ages are</w:t>
      </w:r>
      <w:r w:rsidR="00E96DFB" w:rsidRPr="00BB2D48">
        <w:rPr>
          <w:rFonts w:cs="Times New Roman"/>
        </w:rPr>
        <w:t xml:space="preserve"> excluded from the </w:t>
      </w:r>
      <w:r>
        <w:rPr>
          <w:rFonts w:cs="Times New Roman"/>
        </w:rPr>
        <w:t xml:space="preserve">inversion to </w:t>
      </w:r>
      <w:r w:rsidR="00E96DFB" w:rsidRPr="00BB2D48">
        <w:rPr>
          <w:rFonts w:cs="Times New Roman"/>
        </w:rPr>
        <w:t xml:space="preserve">exhumation rates </w:t>
      </w:r>
      <w:r w:rsidR="00DF07FA">
        <w:rPr>
          <w:rFonts w:cs="Times New Roman"/>
        </w:rPr>
        <w:t xml:space="preserve">(sample </w:t>
      </w:r>
      <w:r w:rsidR="00D5348B">
        <w:rPr>
          <w:rFonts w:cs="Times New Roman"/>
        </w:rPr>
        <w:t>CG44)</w:t>
      </w:r>
      <w:r w:rsidR="00E96DFB" w:rsidRPr="00BB2D48">
        <w:rPr>
          <w:rFonts w:cs="Times New Roman"/>
        </w:rPr>
        <w:t xml:space="preserve">. </w:t>
      </w:r>
      <w:r w:rsidR="00DA7A2E">
        <w:rPr>
          <w:rFonts w:cs="Times New Roman"/>
        </w:rPr>
        <w:t>Sample CG</w:t>
      </w:r>
      <w:r w:rsidR="00DF07FA">
        <w:rPr>
          <w:rFonts w:cs="Times New Roman"/>
        </w:rPr>
        <w:t>48 give scattered</w:t>
      </w:r>
      <w:r w:rsidR="003E3F2E">
        <w:rPr>
          <w:rFonts w:cs="Times New Roman"/>
        </w:rPr>
        <w:t xml:space="preserve"> single grain</w:t>
      </w:r>
      <w:r w:rsidR="00DF07FA">
        <w:rPr>
          <w:rFonts w:cs="Times New Roman"/>
        </w:rPr>
        <w:t xml:space="preserve"> ages that </w:t>
      </w:r>
      <w:r w:rsidR="00D5348B">
        <w:rPr>
          <w:rFonts w:cs="Times New Roman"/>
        </w:rPr>
        <w:t>differ f</w:t>
      </w:r>
      <w:r w:rsidR="00DF07FA">
        <w:rPr>
          <w:rFonts w:cs="Times New Roman"/>
        </w:rPr>
        <w:t>r</w:t>
      </w:r>
      <w:r w:rsidR="00D5348B">
        <w:rPr>
          <w:rFonts w:cs="Times New Roman"/>
        </w:rPr>
        <w:t>o</w:t>
      </w:r>
      <w:r w:rsidR="00DF07FA">
        <w:rPr>
          <w:rFonts w:cs="Times New Roman"/>
        </w:rPr>
        <w:t>m the formation age by only 33</w:t>
      </w:r>
      <w:r w:rsidR="00D5348B">
        <w:rPr>
          <w:rFonts w:cs="Times New Roman"/>
        </w:rPr>
        <w:t>Ma</w:t>
      </w:r>
      <w:r w:rsidR="00DF07FA">
        <w:rPr>
          <w:rFonts w:cs="Times New Roman"/>
        </w:rPr>
        <w:t xml:space="preserve"> an</w:t>
      </w:r>
      <w:r w:rsidR="00D5348B">
        <w:rPr>
          <w:rFonts w:cs="Times New Roman"/>
        </w:rPr>
        <w:t>d</w:t>
      </w:r>
      <w:r w:rsidR="00DF07FA">
        <w:rPr>
          <w:rFonts w:cs="Times New Roman"/>
        </w:rPr>
        <w:t xml:space="preserve"> 13 Ma</w:t>
      </w:r>
      <w:r w:rsidR="00B1247D">
        <w:rPr>
          <w:rFonts w:cs="Times New Roman"/>
        </w:rPr>
        <w:t>.</w:t>
      </w:r>
      <w:r w:rsidR="00D5348B">
        <w:rPr>
          <w:rFonts w:cs="Times New Roman"/>
        </w:rPr>
        <w:t xml:space="preserve"> </w:t>
      </w:r>
      <w:r w:rsidR="00B1247D">
        <w:rPr>
          <w:rFonts w:cs="Times New Roman"/>
        </w:rPr>
        <w:t>T</w:t>
      </w:r>
      <w:r w:rsidR="00D5348B">
        <w:rPr>
          <w:rFonts w:cs="Times New Roman"/>
        </w:rPr>
        <w:t>herefore</w:t>
      </w:r>
      <w:r w:rsidR="00B1247D">
        <w:rPr>
          <w:rFonts w:cs="Times New Roman"/>
        </w:rPr>
        <w:t>,</w:t>
      </w:r>
      <w:r w:rsidR="00D5348B">
        <w:rPr>
          <w:rFonts w:cs="Times New Roman"/>
        </w:rPr>
        <w:t xml:space="preserve"> t</w:t>
      </w:r>
      <w:r w:rsidR="00DF07FA">
        <w:rPr>
          <w:rFonts w:cs="Times New Roman"/>
        </w:rPr>
        <w:t>his is sa</w:t>
      </w:r>
      <w:r w:rsidR="00D5348B">
        <w:rPr>
          <w:rFonts w:cs="Times New Roman"/>
        </w:rPr>
        <w:t>m</w:t>
      </w:r>
      <w:r w:rsidR="00DF07FA">
        <w:rPr>
          <w:rFonts w:cs="Times New Roman"/>
        </w:rPr>
        <w:t xml:space="preserve">ple is considered to be </w:t>
      </w:r>
      <w:r w:rsidR="00071EC3">
        <w:rPr>
          <w:noProof/>
        </w:rPr>
        <mc:AlternateContent>
          <mc:Choice Requires="wps">
            <w:drawing>
              <wp:anchor distT="0" distB="0" distL="114300" distR="114300" simplePos="0" relativeHeight="251661312" behindDoc="0" locked="0" layoutInCell="1" allowOverlap="1" wp14:anchorId="7C024D4D" wp14:editId="6B94455A">
                <wp:simplePos x="0" y="0"/>
                <wp:positionH relativeFrom="column">
                  <wp:posOffset>835025</wp:posOffset>
                </wp:positionH>
                <wp:positionV relativeFrom="paragraph">
                  <wp:posOffset>4728845</wp:posOffset>
                </wp:positionV>
                <wp:extent cx="5248275" cy="581660"/>
                <wp:effectExtent l="0" t="0" r="9525" b="8890"/>
                <wp:wrapTopAndBottom/>
                <wp:docPr id="2" name="Casella di testo 2"/>
                <wp:cNvGraphicFramePr/>
                <a:graphic xmlns:a="http://schemas.openxmlformats.org/drawingml/2006/main">
                  <a:graphicData uri="http://schemas.microsoft.com/office/word/2010/wordprocessingShape">
                    <wps:wsp>
                      <wps:cNvSpPr txBox="1"/>
                      <wps:spPr>
                        <a:xfrm>
                          <a:off x="0" y="0"/>
                          <a:ext cx="5248275" cy="581660"/>
                        </a:xfrm>
                        <a:prstGeom prst="rect">
                          <a:avLst/>
                        </a:prstGeom>
                        <a:solidFill>
                          <a:prstClr val="white"/>
                        </a:solidFill>
                        <a:ln>
                          <a:noFill/>
                        </a:ln>
                        <a:effectLst/>
                      </wps:spPr>
                      <wps:txbx>
                        <w:txbxContent>
                          <w:p w14:paraId="49715E5A" w14:textId="71FB6C2F" w:rsidR="00071EC3" w:rsidRPr="00071EC3" w:rsidRDefault="00071EC3" w:rsidP="00071EC3">
                            <w:pPr>
                              <w:pStyle w:val="Didascalia"/>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Pr>
                                <w:b/>
                                <w:noProof/>
                              </w:rPr>
                              <w:t>1</w:t>
                            </w:r>
                            <w:r w:rsidRPr="00071EC3">
                              <w:rPr>
                                <w:b/>
                              </w:rPr>
                              <w:fldChar w:fldCharType="end"/>
                            </w:r>
                            <w:r w:rsidRPr="00071EC3">
                              <w:rPr>
                                <w:b/>
                              </w:rPr>
                              <w:t>:</w:t>
                            </w:r>
                            <w:r w:rsidRPr="00071EC3">
                              <w:rPr>
                                <w:rFonts w:cs="Times New Roman"/>
                                <w:sz w:val="22"/>
                              </w:rPr>
                              <w:t xml:space="preserve"> </w:t>
                            </w:r>
                            <w:r w:rsidRPr="00071EC3">
                              <w:t>ZHe Single grain ages versus rock formation age</w:t>
                            </w:r>
                            <w:r w:rsidR="00982950">
                              <w:t>s</w:t>
                            </w:r>
                            <w:r w:rsidRPr="00071EC3">
                              <w:t>. ZHe ages younger than age of formation are reset and contain information on the cooling history of the sampled rock. ZHe ages overlapping or older than the age of formation are most likely partially and not reset and</w:t>
                            </w:r>
                            <w:r w:rsidR="00982950">
                              <w:t>,</w:t>
                            </w:r>
                            <w:r w:rsidRPr="00071EC3">
                              <w:t xml:space="preserve"> therefore</w:t>
                            </w:r>
                            <w:r w:rsidR="00982950">
                              <w:t>,</w:t>
                            </w:r>
                            <w:r w:rsidRPr="00071EC3">
                              <w:t xml:space="preserve"> are excluded from the exhumation rates calculations.</w:t>
                            </w:r>
                          </w:p>
                          <w:p w14:paraId="16191111" w14:textId="30E89E54" w:rsidR="00071EC3" w:rsidRPr="003028D6" w:rsidRDefault="00071EC3" w:rsidP="00071EC3">
                            <w:pPr>
                              <w:pStyle w:val="Didascalia"/>
                              <w:rPr>
                                <w:rFonts w:cs="Times New Roman"/>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24D4D" id="_x0000_t202" coordsize="21600,21600" o:spt="202" path="m,l,21600r21600,l21600,xe">
                <v:stroke joinstyle="miter"/>
                <v:path gradientshapeok="t" o:connecttype="rect"/>
              </v:shapetype>
              <v:shape id="Casella di testo 2" o:spid="_x0000_s1026" type="#_x0000_t202" style="position:absolute;left:0;text-align:left;margin-left:65.75pt;margin-top:372.35pt;width:413.2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" stroked="f">
                <v:textbox inset="0,0,0,0">
                  <w:txbxContent>
                    <w:p w14:paraId="49715E5A" w14:textId="71FB6C2F" w:rsidR="00071EC3" w:rsidRPr="00071EC3" w:rsidRDefault="00071EC3" w:rsidP="00071EC3">
                      <w:pPr>
                        <w:pStyle w:val="Didascalia"/>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Pr>
                          <w:b/>
                          <w:noProof/>
                        </w:rPr>
                        <w:t>1</w:t>
                      </w:r>
                      <w:r w:rsidRPr="00071EC3">
                        <w:rPr>
                          <w:b/>
                        </w:rPr>
                        <w:fldChar w:fldCharType="end"/>
                      </w:r>
                      <w:r w:rsidRPr="00071EC3">
                        <w:rPr>
                          <w:b/>
                        </w:rPr>
                        <w:t>:</w:t>
                      </w:r>
                      <w:r w:rsidRPr="00071EC3">
                        <w:rPr>
                          <w:rFonts w:cs="Times New Roman"/>
                          <w:sz w:val="22"/>
                        </w:rPr>
                        <w:t xml:space="preserve"> </w:t>
                      </w:r>
                      <w:r w:rsidRPr="00071EC3">
                        <w:t>ZHe Single grain ages versus rock formation age</w:t>
                      </w:r>
                      <w:r w:rsidR="00982950">
                        <w:t>s</w:t>
                      </w:r>
                      <w:r w:rsidRPr="00071EC3">
                        <w:t>. ZHe ages younger than age of formation are reset and contain information on the cooling history of the sampled rock. ZHe ages overlapping or older than the age of formation are most likely partially and not reset and</w:t>
                      </w:r>
                      <w:r w:rsidR="00982950">
                        <w:t>,</w:t>
                      </w:r>
                      <w:r w:rsidRPr="00071EC3">
                        <w:t xml:space="preserve"> therefore</w:t>
                      </w:r>
                      <w:r w:rsidR="00982950">
                        <w:t>,</w:t>
                      </w:r>
                      <w:r w:rsidRPr="00071EC3">
                        <w:t xml:space="preserve"> are excluded from the exhumation rates calculations.</w:t>
                      </w:r>
                    </w:p>
                    <w:p w14:paraId="16191111" w14:textId="30E89E54" w:rsidR="00071EC3" w:rsidRPr="003028D6" w:rsidRDefault="00071EC3" w:rsidP="00071EC3">
                      <w:pPr>
                        <w:pStyle w:val="Didascalia"/>
                        <w:rPr>
                          <w:rFonts w:cs="Times New Roman"/>
                          <w:sz w:val="24"/>
                        </w:rPr>
                      </w:pPr>
                    </w:p>
                  </w:txbxContent>
                </v:textbox>
                <w10:wrap type="topAndBottom"/>
              </v:shape>
            </w:pict>
          </mc:Fallback>
        </mc:AlternateContent>
      </w:r>
      <w:r w:rsidR="00071EC3">
        <w:rPr>
          <w:rFonts w:cs="Times New Roman"/>
          <w:noProof/>
        </w:rPr>
        <w:drawing>
          <wp:anchor distT="0" distB="0" distL="114300" distR="114300" simplePos="0" relativeHeight="251659264" behindDoc="0" locked="0" layoutInCell="1" allowOverlap="1" wp14:anchorId="5B9BC654" wp14:editId="2CBA84AD">
            <wp:simplePos x="0" y="0"/>
            <wp:positionH relativeFrom="column">
              <wp:posOffset>1864360</wp:posOffset>
            </wp:positionH>
            <wp:positionV relativeFrom="paragraph">
              <wp:posOffset>2112208</wp:posOffset>
            </wp:positionV>
            <wp:extent cx="2721864" cy="2563368"/>
            <wp:effectExtent l="0" t="0" r="2540" b="889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1864" cy="2563368"/>
                    </a:xfrm>
                    <a:prstGeom prst="rect">
                      <a:avLst/>
                    </a:prstGeom>
                  </pic:spPr>
                </pic:pic>
              </a:graphicData>
            </a:graphic>
          </wp:anchor>
        </w:drawing>
      </w:r>
      <w:r w:rsidR="00DF07FA">
        <w:rPr>
          <w:rFonts w:cs="Times New Roman"/>
        </w:rPr>
        <w:t>partially reset.</w:t>
      </w:r>
    </w:p>
    <w:p w14:paraId="136C9F7C" w14:textId="79093171" w:rsidR="00C15113" w:rsidRPr="00BB2D48" w:rsidRDefault="00DF07FA" w:rsidP="002C2034">
      <w:pPr>
        <w:spacing w:after="0"/>
        <w:ind w:firstLine="284"/>
        <w:rPr>
          <w:rFonts w:cs="Times New Roman"/>
        </w:rPr>
      </w:pPr>
      <w:r>
        <w:rPr>
          <w:rFonts w:cs="Times New Roman"/>
        </w:rPr>
        <w:t xml:space="preserve"> </w:t>
      </w:r>
    </w:p>
    <w:p w14:paraId="130CA47A" w14:textId="29BF7687" w:rsidR="00C9765A" w:rsidRPr="00BB2D48" w:rsidRDefault="002C2034" w:rsidP="002C2034">
      <w:pPr>
        <w:spacing w:after="0"/>
        <w:ind w:firstLine="284"/>
        <w:rPr>
          <w:rFonts w:cs="Times New Roman"/>
        </w:rPr>
      </w:pPr>
      <w:r w:rsidRPr="00BB2D48">
        <w:rPr>
          <w:rFonts w:cs="Times New Roman"/>
        </w:rPr>
        <w:t>In order to estimate the influence of radiation damage associated with U and Th decay on He diffusivity, we calculate the effective uranium concentration (eU) of our grains</w:t>
      </w:r>
      <w:r w:rsidR="005D3AE3">
        <w:rPr>
          <w:rFonts w:cs="Times New Roman"/>
        </w:rPr>
        <w:t xml:space="preserve"> (Fig. S2)</w:t>
      </w:r>
      <w:r w:rsidRPr="00BB2D48">
        <w:rPr>
          <w:rFonts w:cs="Times New Roman"/>
        </w:rPr>
        <w:t xml:space="preserve">. eU is a first order estimate of the radiation damage of a crystal (Flowers et al., 2007; Shuster et al., 2006). eU values of our grains are medium </w:t>
      </w:r>
      <w:r w:rsidR="0056473C" w:rsidRPr="00BB2D48">
        <w:rPr>
          <w:rFonts w:cs="Times New Roman"/>
        </w:rPr>
        <w:t>to high and</w:t>
      </w:r>
      <w:r w:rsidRPr="00BB2D48">
        <w:rPr>
          <w:rFonts w:cs="Times New Roman"/>
        </w:rPr>
        <w:t xml:space="preserve"> vary from 1</w:t>
      </w:r>
      <w:r w:rsidR="0056473C" w:rsidRPr="00BB2D48">
        <w:rPr>
          <w:rFonts w:cs="Times New Roman"/>
        </w:rPr>
        <w:t>13 ppm</w:t>
      </w:r>
      <w:r w:rsidRPr="00BB2D48">
        <w:rPr>
          <w:rFonts w:cs="Times New Roman"/>
        </w:rPr>
        <w:t xml:space="preserve"> to</w:t>
      </w:r>
      <w:r w:rsidR="0056473C" w:rsidRPr="00BB2D48">
        <w:rPr>
          <w:rFonts w:cs="Times New Roman"/>
        </w:rPr>
        <w:t>1800</w:t>
      </w:r>
      <w:r w:rsidRPr="00BB2D48">
        <w:rPr>
          <w:rFonts w:cs="Times New Roman"/>
        </w:rPr>
        <w:t xml:space="preserve"> ppm (</w:t>
      </w:r>
      <w:r w:rsidR="0056473C" w:rsidRPr="00BB2D48">
        <w:rPr>
          <w:rFonts w:cs="Times New Roman"/>
        </w:rPr>
        <w:t xml:space="preserve">Table 2 main text and </w:t>
      </w:r>
      <w:r w:rsidRPr="00BB2D48">
        <w:rPr>
          <w:rFonts w:cs="Times New Roman"/>
        </w:rPr>
        <w:t>Fig. S</w:t>
      </w:r>
      <w:r w:rsidR="0056473C" w:rsidRPr="00BB2D48">
        <w:rPr>
          <w:rFonts w:cs="Times New Roman"/>
        </w:rPr>
        <w:t>2</w:t>
      </w:r>
      <w:r w:rsidRPr="00BB2D48">
        <w:rPr>
          <w:rFonts w:cs="Times New Roman"/>
        </w:rPr>
        <w:t>)</w:t>
      </w:r>
      <w:r w:rsidR="00C9765A" w:rsidRPr="00BB2D48">
        <w:rPr>
          <w:rFonts w:cs="Times New Roman"/>
        </w:rPr>
        <w:t>.</w:t>
      </w:r>
      <w:r w:rsidRPr="00BB2D48">
        <w:rPr>
          <w:rFonts w:cs="Times New Roman"/>
        </w:rPr>
        <w:t xml:space="preserve"> </w:t>
      </w:r>
      <w:r w:rsidR="00EE7A5F" w:rsidRPr="00BB2D48">
        <w:rPr>
          <w:rFonts w:cs="Times New Roman"/>
        </w:rPr>
        <w:t xml:space="preserve">Grain </w:t>
      </w:r>
      <w:r w:rsidR="00C9765A" w:rsidRPr="00BB2D48">
        <w:rPr>
          <w:rFonts w:cs="Times New Roman"/>
        </w:rPr>
        <w:t xml:space="preserve">ages &lt; 50 Ma </w:t>
      </w:r>
      <w:r w:rsidR="00EE7A5F" w:rsidRPr="00BB2D48">
        <w:rPr>
          <w:rFonts w:cs="Times New Roman"/>
        </w:rPr>
        <w:t>have a high</w:t>
      </w:r>
      <w:r w:rsidR="00C9765A" w:rsidRPr="00BB2D48">
        <w:rPr>
          <w:rFonts w:cs="Times New Roman"/>
        </w:rPr>
        <w:t xml:space="preserve"> eU</w:t>
      </w:r>
      <w:r w:rsidR="00EE7A5F" w:rsidRPr="00BB2D48">
        <w:rPr>
          <w:rFonts w:cs="Times New Roman"/>
        </w:rPr>
        <w:t xml:space="preserve"> range</w:t>
      </w:r>
      <w:r w:rsidR="00C9765A" w:rsidRPr="00BB2D48">
        <w:rPr>
          <w:rFonts w:cs="Times New Roman"/>
        </w:rPr>
        <w:t>,</w:t>
      </w:r>
      <w:r w:rsidR="00EE7A5F" w:rsidRPr="00BB2D48">
        <w:rPr>
          <w:rFonts w:cs="Times New Roman"/>
        </w:rPr>
        <w:t xml:space="preserve"> from &lt;500</w:t>
      </w:r>
      <w:r w:rsidR="00C9765A" w:rsidRPr="00BB2D48">
        <w:rPr>
          <w:rFonts w:cs="Times New Roman"/>
        </w:rPr>
        <w:t xml:space="preserve"> ppm</w:t>
      </w:r>
      <w:r w:rsidR="00EE7A5F" w:rsidRPr="00BB2D48">
        <w:rPr>
          <w:rFonts w:cs="Times New Roman"/>
        </w:rPr>
        <w:t xml:space="preserve"> to &gt;1000</w:t>
      </w:r>
      <w:r w:rsidR="00C9765A" w:rsidRPr="00BB2D48">
        <w:rPr>
          <w:rFonts w:cs="Times New Roman"/>
        </w:rPr>
        <w:t xml:space="preserve"> ppm, whereas grain ages &gt;50 Ma display mostly values &lt; 500 ppm</w:t>
      </w:r>
      <w:r w:rsidR="00123E6B" w:rsidRPr="00BB2D48">
        <w:rPr>
          <w:rFonts w:cs="Times New Roman"/>
        </w:rPr>
        <w:t>, with the exception of one grain (Fig. S2)</w:t>
      </w:r>
      <w:r w:rsidR="00EE7A5F" w:rsidRPr="00BB2D48">
        <w:rPr>
          <w:rFonts w:cs="Times New Roman"/>
        </w:rPr>
        <w:t>.</w:t>
      </w:r>
      <w:r w:rsidR="00C9765A" w:rsidRPr="00BB2D48">
        <w:rPr>
          <w:rFonts w:cs="Times New Roman"/>
        </w:rPr>
        <w:t xml:space="preserve"> </w:t>
      </w:r>
      <w:r w:rsidR="00123E6B" w:rsidRPr="00BB2D48">
        <w:rPr>
          <w:rFonts w:cs="Times New Roman"/>
        </w:rPr>
        <w:t xml:space="preserve">This pattern </w:t>
      </w:r>
      <w:r w:rsidR="00ED5062">
        <w:rPr>
          <w:rFonts w:cs="Times New Roman"/>
        </w:rPr>
        <w:t>reflects</w:t>
      </w:r>
      <w:r w:rsidR="00123E6B" w:rsidRPr="00BB2D48">
        <w:rPr>
          <w:rFonts w:cs="Times New Roman"/>
        </w:rPr>
        <w:t xml:space="preserve"> the </w:t>
      </w:r>
      <w:r w:rsidR="00C9765A" w:rsidRPr="00BB2D48">
        <w:rPr>
          <w:rFonts w:cs="Times New Roman"/>
        </w:rPr>
        <w:t>sample</w:t>
      </w:r>
      <w:r w:rsidR="00123E6B" w:rsidRPr="00BB2D48">
        <w:rPr>
          <w:rFonts w:cs="Times New Roman"/>
        </w:rPr>
        <w:t>d</w:t>
      </w:r>
      <w:r w:rsidR="00C9765A" w:rsidRPr="00BB2D48">
        <w:rPr>
          <w:rFonts w:cs="Times New Roman"/>
        </w:rPr>
        <w:t xml:space="preserve"> type of rock</w:t>
      </w:r>
      <w:r w:rsidR="00123E6B" w:rsidRPr="00BB2D48">
        <w:rPr>
          <w:rFonts w:cs="Times New Roman"/>
        </w:rPr>
        <w:t>. Indeed, q</w:t>
      </w:r>
      <w:r w:rsidR="00C9765A" w:rsidRPr="00BB2D48">
        <w:rPr>
          <w:rFonts w:cs="Times New Roman"/>
        </w:rPr>
        <w:t xml:space="preserve">uartzomonzonitc </w:t>
      </w:r>
      <w:r w:rsidR="004A0AAC" w:rsidRPr="00BB2D48">
        <w:rPr>
          <w:rFonts w:cs="Times New Roman"/>
        </w:rPr>
        <w:t xml:space="preserve">and gneiss </w:t>
      </w:r>
      <w:r w:rsidR="00C9765A" w:rsidRPr="00BB2D48">
        <w:rPr>
          <w:rFonts w:cs="Times New Roman"/>
        </w:rPr>
        <w:t>samples</w:t>
      </w:r>
      <w:r w:rsidR="00123E6B" w:rsidRPr="00BB2D48">
        <w:rPr>
          <w:rFonts w:cs="Times New Roman"/>
        </w:rPr>
        <w:t xml:space="preserve"> (CG42, CG43, CG68</w:t>
      </w:r>
      <w:r w:rsidR="004A0AAC" w:rsidRPr="00BB2D48">
        <w:rPr>
          <w:rFonts w:cs="Times New Roman"/>
        </w:rPr>
        <w:t>,</w:t>
      </w:r>
      <w:r w:rsidR="00123E6B" w:rsidRPr="00BB2D48">
        <w:rPr>
          <w:rFonts w:cs="Times New Roman"/>
        </w:rPr>
        <w:t xml:space="preserve"> CG69</w:t>
      </w:r>
      <w:r w:rsidR="00B1247D">
        <w:rPr>
          <w:rFonts w:cs="Times New Roman"/>
        </w:rPr>
        <w:t>,</w:t>
      </w:r>
      <w:r w:rsidR="004A0AAC" w:rsidRPr="00BB2D48">
        <w:rPr>
          <w:rFonts w:cs="Times New Roman"/>
        </w:rPr>
        <w:t xml:space="preserve"> and CG36</w:t>
      </w:r>
      <w:r w:rsidR="00123E6B" w:rsidRPr="00BB2D48">
        <w:rPr>
          <w:rFonts w:cs="Times New Roman"/>
        </w:rPr>
        <w:t xml:space="preserve">) </w:t>
      </w:r>
      <w:r w:rsidR="00C9765A" w:rsidRPr="00BB2D48">
        <w:rPr>
          <w:rFonts w:cs="Times New Roman"/>
        </w:rPr>
        <w:t>provided eU values</w:t>
      </w:r>
      <w:r w:rsidR="00123E6B" w:rsidRPr="00BB2D48">
        <w:rPr>
          <w:rFonts w:cs="Times New Roman"/>
        </w:rPr>
        <w:t xml:space="preserve"> ≥</w:t>
      </w:r>
      <w:r w:rsidR="00445F0B">
        <w:rPr>
          <w:rFonts w:cs="Times New Roman"/>
        </w:rPr>
        <w:t xml:space="preserve"> </w:t>
      </w:r>
      <w:r w:rsidR="00123E6B" w:rsidRPr="00BB2D48">
        <w:rPr>
          <w:rFonts w:cs="Times New Roman"/>
        </w:rPr>
        <w:t xml:space="preserve">500 ppm, </w:t>
      </w:r>
      <w:r w:rsidR="00C9765A" w:rsidRPr="00BB2D48">
        <w:rPr>
          <w:rFonts w:cs="Times New Roman"/>
        </w:rPr>
        <w:t>while others types of sampled ro</w:t>
      </w:r>
      <w:r w:rsidR="00123E6B" w:rsidRPr="00BB2D48">
        <w:rPr>
          <w:rFonts w:cs="Times New Roman"/>
        </w:rPr>
        <w:t>cks provide</w:t>
      </w:r>
      <w:r w:rsidR="00C9765A" w:rsidRPr="00BB2D48">
        <w:rPr>
          <w:rFonts w:cs="Times New Roman"/>
        </w:rPr>
        <w:t xml:space="preserve"> eU content</w:t>
      </w:r>
      <w:r w:rsidR="00123E6B" w:rsidRPr="00BB2D48">
        <w:rPr>
          <w:rFonts w:cs="Times New Roman"/>
        </w:rPr>
        <w:t xml:space="preserve"> &lt;500 ppm</w:t>
      </w:r>
      <w:r w:rsidR="004A0AAC" w:rsidRPr="00BB2D48">
        <w:rPr>
          <w:rFonts w:cs="Times New Roman"/>
        </w:rPr>
        <w:t xml:space="preserve"> (Fig. S2)</w:t>
      </w:r>
      <w:r w:rsidR="00C9765A" w:rsidRPr="00BB2D48">
        <w:rPr>
          <w:rFonts w:cs="Times New Roman"/>
        </w:rPr>
        <w:t xml:space="preserve">. </w:t>
      </w:r>
      <w:r w:rsidR="004A0AAC" w:rsidRPr="00BB2D48">
        <w:rPr>
          <w:rFonts w:cs="Times New Roman"/>
        </w:rPr>
        <w:t>Despite the large eU range for samples CG68 and CG69, their single grain ages replicate</w:t>
      </w:r>
      <w:r w:rsidR="00ED5062">
        <w:rPr>
          <w:rFonts w:cs="Times New Roman"/>
        </w:rPr>
        <w:t xml:space="preserve"> well</w:t>
      </w:r>
      <w:r w:rsidR="004A0AAC" w:rsidRPr="00BB2D48">
        <w:rPr>
          <w:rFonts w:cs="Times New Roman"/>
        </w:rPr>
        <w:t xml:space="preserve">. </w:t>
      </w:r>
      <w:r w:rsidR="00392ADB" w:rsidRPr="00BB2D48">
        <w:rPr>
          <w:rFonts w:cs="Times New Roman"/>
        </w:rPr>
        <w:t xml:space="preserve">This is also true for sample CG 36. </w:t>
      </w:r>
      <w:r w:rsidR="004A0AAC" w:rsidRPr="00BB2D48">
        <w:rPr>
          <w:rFonts w:cs="Times New Roman"/>
        </w:rPr>
        <w:t>Therefore</w:t>
      </w:r>
      <w:r w:rsidR="00B1247D">
        <w:rPr>
          <w:rFonts w:cs="Times New Roman"/>
        </w:rPr>
        <w:t>,</w:t>
      </w:r>
      <w:r w:rsidR="004A0AAC" w:rsidRPr="00BB2D48">
        <w:rPr>
          <w:rFonts w:cs="Times New Roman"/>
        </w:rPr>
        <w:t xml:space="preserve"> for these samples we exclude any influence of the eU content on the obtained ages, which likely relate</w:t>
      </w:r>
      <w:r w:rsidR="00B1247D">
        <w:rPr>
          <w:rFonts w:cs="Times New Roman"/>
        </w:rPr>
        <w:t>s</w:t>
      </w:r>
      <w:r w:rsidR="004A0AAC" w:rsidRPr="00BB2D48">
        <w:rPr>
          <w:rFonts w:cs="Times New Roman"/>
        </w:rPr>
        <w:t xml:space="preserve"> to fast cooling. Sample</w:t>
      </w:r>
      <w:r w:rsidR="005D3AE3">
        <w:rPr>
          <w:rFonts w:cs="Times New Roman"/>
        </w:rPr>
        <w:t>s</w:t>
      </w:r>
      <w:r w:rsidR="004A0AAC" w:rsidRPr="00BB2D48">
        <w:rPr>
          <w:rFonts w:cs="Times New Roman"/>
        </w:rPr>
        <w:t xml:space="preserve"> CG42 and CG43 </w:t>
      </w:r>
      <w:r w:rsidR="002A06B1" w:rsidRPr="00BB2D48">
        <w:rPr>
          <w:rFonts w:cs="Times New Roman"/>
        </w:rPr>
        <w:t>show scattered single grain ages and slightly</w:t>
      </w:r>
      <w:r w:rsidR="004A0AAC" w:rsidRPr="00BB2D48">
        <w:rPr>
          <w:rFonts w:cs="Times New Roman"/>
        </w:rPr>
        <w:t xml:space="preserve"> negative relation </w:t>
      </w:r>
      <w:r w:rsidR="00445F0B">
        <w:rPr>
          <w:rFonts w:cs="Times New Roman"/>
        </w:rPr>
        <w:t xml:space="preserve">with </w:t>
      </w:r>
      <w:r w:rsidR="002A06B1" w:rsidRPr="00BB2D48">
        <w:rPr>
          <w:rFonts w:cs="Times New Roman"/>
        </w:rPr>
        <w:t>eU content. In this case</w:t>
      </w:r>
      <w:r w:rsidR="00ED5062">
        <w:rPr>
          <w:rFonts w:cs="Times New Roman"/>
        </w:rPr>
        <w:t>,</w:t>
      </w:r>
      <w:r w:rsidR="002A06B1" w:rsidRPr="00BB2D48">
        <w:rPr>
          <w:rFonts w:cs="Times New Roman"/>
        </w:rPr>
        <w:t xml:space="preserve"> </w:t>
      </w:r>
      <w:r w:rsidR="00ED5062">
        <w:rPr>
          <w:rFonts w:cs="Times New Roman"/>
        </w:rPr>
        <w:t>it is possible that</w:t>
      </w:r>
      <w:r w:rsidR="002A06B1" w:rsidRPr="00BB2D48">
        <w:rPr>
          <w:rFonts w:cs="Times New Roman"/>
        </w:rPr>
        <w:t xml:space="preserve"> </w:t>
      </w:r>
      <w:r w:rsidR="002A06B1" w:rsidRPr="00BB2D48">
        <w:rPr>
          <w:rFonts w:cs="Times New Roman"/>
        </w:rPr>
        <w:lastRenderedPageBreak/>
        <w:t xml:space="preserve">radiation </w:t>
      </w:r>
      <w:r w:rsidR="00071EC3">
        <w:rPr>
          <w:noProof/>
        </w:rPr>
        <mc:AlternateContent>
          <mc:Choice Requires="wps">
            <w:drawing>
              <wp:anchor distT="0" distB="0" distL="114300" distR="114300" simplePos="0" relativeHeight="251664384" behindDoc="0" locked="0" layoutInCell="1" allowOverlap="1" wp14:anchorId="683CCFCF" wp14:editId="15A287E6">
                <wp:simplePos x="0" y="0"/>
                <wp:positionH relativeFrom="column">
                  <wp:posOffset>0</wp:posOffset>
                </wp:positionH>
                <wp:positionV relativeFrom="paragraph">
                  <wp:posOffset>3136265</wp:posOffset>
                </wp:positionV>
                <wp:extent cx="6332220" cy="635"/>
                <wp:effectExtent l="0" t="0" r="0" b="0"/>
                <wp:wrapTopAndBottom/>
                <wp:docPr id="4" name="Casella di testo 4"/>
                <wp:cNvGraphicFramePr/>
                <a:graphic xmlns:a="http://schemas.openxmlformats.org/drawingml/2006/main">
                  <a:graphicData uri="http://schemas.microsoft.com/office/word/2010/wordprocessingShape">
                    <wps:wsp>
                      <wps:cNvSpPr txBox="1"/>
                      <wps:spPr>
                        <a:xfrm>
                          <a:off x="0" y="0"/>
                          <a:ext cx="6332220" cy="635"/>
                        </a:xfrm>
                        <a:prstGeom prst="rect">
                          <a:avLst/>
                        </a:prstGeom>
                        <a:solidFill>
                          <a:prstClr val="white"/>
                        </a:solidFill>
                        <a:ln>
                          <a:noFill/>
                        </a:ln>
                        <a:effectLst/>
                      </wps:spPr>
                      <wps:txbx>
                        <w:txbxContent>
                          <w:p w14:paraId="53339AAA" w14:textId="23EA5FAC" w:rsidR="00071EC3" w:rsidRPr="008604C7" w:rsidRDefault="00071EC3" w:rsidP="00071EC3">
                            <w:pPr>
                              <w:pStyle w:val="Didascalia"/>
                              <w:rPr>
                                <w:rFonts w:cs="Times New Roman"/>
                                <w:sz w:val="24"/>
                              </w:rPr>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Pr>
                                <w:b/>
                                <w:noProof/>
                              </w:rPr>
                              <w:t>2</w:t>
                            </w:r>
                            <w:r w:rsidRPr="00071EC3">
                              <w:rPr>
                                <w:b/>
                              </w:rPr>
                              <w:fldChar w:fldCharType="end"/>
                            </w:r>
                            <w:r w:rsidRPr="00071EC3">
                              <w:rPr>
                                <w:b/>
                              </w:rPr>
                              <w:t>:</w:t>
                            </w:r>
                            <w:r>
                              <w:t xml:space="preserve"> </w:t>
                            </w:r>
                            <w:r>
                              <w:rPr>
                                <w:rFonts w:cs="Times New Roman"/>
                              </w:rPr>
                              <w:t>ZHe single grain ages versus effective Uranium (eU) content. Time spacing changes after 50 Ma in the chart to better visualize all the data. eU content of our ZHe ages largely depends on the sampled rocks.  Quartzomonzonitc (Qrtz-monz) and Gneiss samples are the youngest and have the highest eU values whereas others type of rocks have older ages and lower eU. Most of our young ages replicate</w:t>
                            </w:r>
                            <w:r w:rsidR="00982950">
                              <w:rPr>
                                <w:rFonts w:cs="Times New Roman"/>
                              </w:rPr>
                              <w:t xml:space="preserve"> well</w:t>
                            </w:r>
                            <w:r>
                              <w:rPr>
                                <w:rFonts w:cs="Times New Roman"/>
                              </w:rPr>
                              <w:t xml:space="preserve"> suggesting little or n</w:t>
                            </w:r>
                            <w:r w:rsidR="00982950">
                              <w:rPr>
                                <w:rFonts w:cs="Times New Roman"/>
                              </w:rPr>
                              <w:t>o</w:t>
                            </w:r>
                            <w:r>
                              <w:rPr>
                                <w:rFonts w:cs="Times New Roman"/>
                              </w:rPr>
                              <w:t xml:space="preserve"> influence of radiation damage on He diffusivity.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3CCFCF" id="Casella di testo 4" o:spid="_x0000_s1027" type="#_x0000_t202" style="position:absolute;left:0;text-align:left;margin-left:0;margin-top:246.95pt;width:498.6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" stroked="f">
                <v:textbox style="mso-fit-shape-to-text:t" inset="0,0,0,0">
                  <w:txbxContent>
                    <w:p w14:paraId="53339AAA" w14:textId="23EA5FAC" w:rsidR="00071EC3" w:rsidRPr="008604C7" w:rsidRDefault="00071EC3" w:rsidP="00071EC3">
                      <w:pPr>
                        <w:pStyle w:val="Didascalia"/>
                        <w:rPr>
                          <w:rFonts w:cs="Times New Roman"/>
                          <w:sz w:val="24"/>
                        </w:rPr>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Pr>
                          <w:b/>
                          <w:noProof/>
                        </w:rPr>
                        <w:t>2</w:t>
                      </w:r>
                      <w:r w:rsidRPr="00071EC3">
                        <w:rPr>
                          <w:b/>
                        </w:rPr>
                        <w:fldChar w:fldCharType="end"/>
                      </w:r>
                      <w:r w:rsidRPr="00071EC3">
                        <w:rPr>
                          <w:b/>
                        </w:rPr>
                        <w:t>:</w:t>
                      </w:r>
                      <w:r>
                        <w:t xml:space="preserve"> </w:t>
                      </w:r>
                      <w:r>
                        <w:rPr>
                          <w:rFonts w:cs="Times New Roman"/>
                        </w:rPr>
                        <w:t>ZHe single grain ages versus effective Uranium (</w:t>
                      </w:r>
                      <w:proofErr w:type="spellStart"/>
                      <w:r>
                        <w:rPr>
                          <w:rFonts w:cs="Times New Roman"/>
                        </w:rPr>
                        <w:t>eU</w:t>
                      </w:r>
                      <w:proofErr w:type="spellEnd"/>
                      <w:r>
                        <w:rPr>
                          <w:rFonts w:cs="Times New Roman"/>
                        </w:rPr>
                        <w:t xml:space="preserve">) content. Time spacing changes after 50 Ma in the chart to better visualize all the data. </w:t>
                      </w:r>
                      <w:proofErr w:type="spellStart"/>
                      <w:proofErr w:type="gramStart"/>
                      <w:r>
                        <w:rPr>
                          <w:rFonts w:cs="Times New Roman"/>
                        </w:rPr>
                        <w:t>eU</w:t>
                      </w:r>
                      <w:proofErr w:type="spellEnd"/>
                      <w:proofErr w:type="gramEnd"/>
                      <w:r>
                        <w:rPr>
                          <w:rFonts w:cs="Times New Roman"/>
                        </w:rPr>
                        <w:t xml:space="preserve"> content of our ZHe ages largely depends on the sampled rocks.  </w:t>
                      </w:r>
                      <w:proofErr w:type="spellStart"/>
                      <w:r>
                        <w:rPr>
                          <w:rFonts w:cs="Times New Roman"/>
                        </w:rPr>
                        <w:t>Quartzomonzonitc</w:t>
                      </w:r>
                      <w:proofErr w:type="spellEnd"/>
                      <w:r>
                        <w:rPr>
                          <w:rFonts w:cs="Times New Roman"/>
                        </w:rPr>
                        <w:t xml:space="preserve"> (</w:t>
                      </w:r>
                      <w:proofErr w:type="spellStart"/>
                      <w:r>
                        <w:rPr>
                          <w:rFonts w:cs="Times New Roman"/>
                        </w:rPr>
                        <w:t>Qrtz-monz</w:t>
                      </w:r>
                      <w:proofErr w:type="spellEnd"/>
                      <w:r>
                        <w:rPr>
                          <w:rFonts w:cs="Times New Roman"/>
                        </w:rPr>
                        <w:t xml:space="preserve">) and Gneiss samples are the youngest and have the highest </w:t>
                      </w:r>
                      <w:proofErr w:type="spellStart"/>
                      <w:r>
                        <w:rPr>
                          <w:rFonts w:cs="Times New Roman"/>
                        </w:rPr>
                        <w:t>eU</w:t>
                      </w:r>
                      <w:proofErr w:type="spellEnd"/>
                      <w:r>
                        <w:rPr>
                          <w:rFonts w:cs="Times New Roman"/>
                        </w:rPr>
                        <w:t xml:space="preserve"> values whereas others type of rocks have older ages and lower </w:t>
                      </w:r>
                      <w:proofErr w:type="spellStart"/>
                      <w:r>
                        <w:rPr>
                          <w:rFonts w:cs="Times New Roman"/>
                        </w:rPr>
                        <w:t>eU</w:t>
                      </w:r>
                      <w:proofErr w:type="spellEnd"/>
                      <w:r>
                        <w:rPr>
                          <w:rFonts w:cs="Times New Roman"/>
                        </w:rPr>
                        <w:t>. Most of our young ages replicate</w:t>
                      </w:r>
                      <w:r w:rsidR="00982950">
                        <w:rPr>
                          <w:rFonts w:cs="Times New Roman"/>
                        </w:rPr>
                        <w:t xml:space="preserve"> well</w:t>
                      </w:r>
                      <w:r>
                        <w:rPr>
                          <w:rFonts w:cs="Times New Roman"/>
                        </w:rPr>
                        <w:t xml:space="preserve"> suggesting little or n</w:t>
                      </w:r>
                      <w:r w:rsidR="00982950">
                        <w:rPr>
                          <w:rFonts w:cs="Times New Roman"/>
                        </w:rPr>
                        <w:t>o</w:t>
                      </w:r>
                      <w:r>
                        <w:rPr>
                          <w:rFonts w:cs="Times New Roman"/>
                        </w:rPr>
                        <w:t xml:space="preserve"> influence of radiation damage on </w:t>
                      </w:r>
                      <w:proofErr w:type="gramStart"/>
                      <w:r>
                        <w:rPr>
                          <w:rFonts w:cs="Times New Roman"/>
                        </w:rPr>
                        <w:t>He</w:t>
                      </w:r>
                      <w:proofErr w:type="gramEnd"/>
                      <w:r>
                        <w:rPr>
                          <w:rFonts w:cs="Times New Roman"/>
                        </w:rPr>
                        <w:t xml:space="preserve"> diffusivity.</w:t>
                      </w:r>
                    </w:p>
                  </w:txbxContent>
                </v:textbox>
                <w10:wrap type="topAndBottom"/>
              </v:shape>
            </w:pict>
          </mc:Fallback>
        </mc:AlternateContent>
      </w:r>
      <w:r w:rsidR="00071EC3">
        <w:rPr>
          <w:rFonts w:cs="Times New Roman"/>
          <w:noProof/>
        </w:rPr>
        <w:drawing>
          <wp:anchor distT="0" distB="0" distL="114300" distR="114300" simplePos="0" relativeHeight="251662336" behindDoc="0" locked="0" layoutInCell="1" allowOverlap="1" wp14:anchorId="20045E6B" wp14:editId="118DE1A1">
            <wp:simplePos x="0" y="0"/>
            <wp:positionH relativeFrom="column">
              <wp:posOffset>0</wp:posOffset>
            </wp:positionH>
            <wp:positionV relativeFrom="paragraph">
              <wp:posOffset>1311910</wp:posOffset>
            </wp:positionV>
            <wp:extent cx="6332220" cy="1767205"/>
            <wp:effectExtent l="0" t="0" r="0" b="444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2220" cy="1767205"/>
                    </a:xfrm>
                    <a:prstGeom prst="rect">
                      <a:avLst/>
                    </a:prstGeom>
                  </pic:spPr>
                </pic:pic>
              </a:graphicData>
            </a:graphic>
          </wp:anchor>
        </w:drawing>
      </w:r>
      <w:r w:rsidR="002A06B1" w:rsidRPr="00BB2D48">
        <w:rPr>
          <w:rFonts w:cs="Times New Roman"/>
        </w:rPr>
        <w:t xml:space="preserve">damage partially affected </w:t>
      </w:r>
      <w:r w:rsidR="00ED5062">
        <w:rPr>
          <w:rFonts w:cs="Times New Roman"/>
        </w:rPr>
        <w:t>the dated</w:t>
      </w:r>
      <w:r w:rsidR="002A06B1" w:rsidRPr="00BB2D48">
        <w:rPr>
          <w:rFonts w:cs="Times New Roman"/>
        </w:rPr>
        <w:t xml:space="preserve"> zircons. However</w:t>
      </w:r>
      <w:r w:rsidR="00B1247D">
        <w:rPr>
          <w:rFonts w:cs="Times New Roman"/>
        </w:rPr>
        <w:t>,</w:t>
      </w:r>
      <w:r w:rsidR="002A06B1" w:rsidRPr="00BB2D48">
        <w:rPr>
          <w:rFonts w:cs="Times New Roman"/>
        </w:rPr>
        <w:t xml:space="preserve"> these tw</w:t>
      </w:r>
      <w:r w:rsidR="00392ADB" w:rsidRPr="00BB2D48">
        <w:rPr>
          <w:rFonts w:cs="Times New Roman"/>
        </w:rPr>
        <w:t>o</w:t>
      </w:r>
      <w:r w:rsidR="002A06B1" w:rsidRPr="00BB2D48">
        <w:rPr>
          <w:rFonts w:cs="Times New Roman"/>
        </w:rPr>
        <w:t xml:space="preserve"> samples are located at more than 10 km </w:t>
      </w:r>
      <w:r w:rsidR="00392ADB" w:rsidRPr="00BB2D48">
        <w:rPr>
          <w:rFonts w:cs="Times New Roman"/>
        </w:rPr>
        <w:t xml:space="preserve">away </w:t>
      </w:r>
      <w:r w:rsidR="002A06B1" w:rsidRPr="00BB2D48">
        <w:rPr>
          <w:rFonts w:cs="Times New Roman"/>
        </w:rPr>
        <w:t xml:space="preserve">from the Bucaramanga fault trace and this single grain age distribution is compatible with slow cooling trough the partial retention zone. </w:t>
      </w:r>
      <w:r w:rsidR="00392ADB" w:rsidRPr="00BB2D48">
        <w:rPr>
          <w:rFonts w:cs="Times New Roman"/>
        </w:rPr>
        <w:t>Samples from granites and sandstones are generally older than 50 Ma and have eU values &lt;500 ppm, without any clear relation between ages and eU. Therefore</w:t>
      </w:r>
      <w:r w:rsidR="00B1247D">
        <w:rPr>
          <w:rFonts w:cs="Times New Roman"/>
        </w:rPr>
        <w:t>,</w:t>
      </w:r>
      <w:r w:rsidR="00392ADB" w:rsidRPr="00BB2D48">
        <w:rPr>
          <w:rFonts w:cs="Times New Roman"/>
        </w:rPr>
        <w:t xml:space="preserve"> for these samples we exclude any influence of the radiation damage on He diffusivity. </w:t>
      </w:r>
    </w:p>
    <w:p w14:paraId="1A2F4598" w14:textId="0A37FE4E" w:rsidR="00A80ABC" w:rsidRPr="00BB2D48" w:rsidRDefault="00071EC3" w:rsidP="002C2034">
      <w:pPr>
        <w:spacing w:after="0"/>
        <w:ind w:firstLine="284"/>
        <w:rPr>
          <w:rFonts w:cs="Times New Roman"/>
        </w:rPr>
      </w:pPr>
      <w:r>
        <w:rPr>
          <w:noProof/>
        </w:rPr>
        <mc:AlternateContent>
          <mc:Choice Requires="wps">
            <w:drawing>
              <wp:anchor distT="0" distB="0" distL="114300" distR="114300" simplePos="0" relativeHeight="251667456" behindDoc="0" locked="0" layoutInCell="1" allowOverlap="1" wp14:anchorId="04E41DA2" wp14:editId="121CD1A3">
                <wp:simplePos x="0" y="0"/>
                <wp:positionH relativeFrom="column">
                  <wp:posOffset>3810</wp:posOffset>
                </wp:positionH>
                <wp:positionV relativeFrom="paragraph">
                  <wp:posOffset>6145530</wp:posOffset>
                </wp:positionV>
                <wp:extent cx="6332220" cy="593725"/>
                <wp:effectExtent l="0" t="0" r="0" b="0"/>
                <wp:wrapTopAndBottom/>
                <wp:docPr id="6" name="Casella di testo 6"/>
                <wp:cNvGraphicFramePr/>
                <a:graphic xmlns:a="http://schemas.openxmlformats.org/drawingml/2006/main">
                  <a:graphicData uri="http://schemas.microsoft.com/office/word/2010/wordprocessingShape">
                    <wps:wsp>
                      <wps:cNvSpPr txBox="1"/>
                      <wps:spPr>
                        <a:xfrm>
                          <a:off x="0" y="0"/>
                          <a:ext cx="6332220" cy="593725"/>
                        </a:xfrm>
                        <a:prstGeom prst="rect">
                          <a:avLst/>
                        </a:prstGeom>
                        <a:solidFill>
                          <a:prstClr val="white"/>
                        </a:solidFill>
                        <a:ln>
                          <a:noFill/>
                        </a:ln>
                        <a:effectLst/>
                      </wps:spPr>
                      <wps:txbx>
                        <w:txbxContent>
                          <w:p w14:paraId="21FE618C" w14:textId="6DF56C17" w:rsidR="00071EC3" w:rsidRPr="00071EC3" w:rsidRDefault="00071EC3" w:rsidP="00071EC3">
                            <w:pPr>
                              <w:pStyle w:val="Didascalia"/>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Pr>
                                <w:b/>
                                <w:noProof/>
                              </w:rPr>
                              <w:t>3</w:t>
                            </w:r>
                            <w:r w:rsidRPr="00071EC3">
                              <w:rPr>
                                <w:b/>
                              </w:rPr>
                              <w:fldChar w:fldCharType="end"/>
                            </w:r>
                            <w:r w:rsidRPr="00071EC3">
                              <w:rPr>
                                <w:b/>
                              </w:rPr>
                              <w:t>:</w:t>
                            </w:r>
                            <w:r>
                              <w:t xml:space="preserve"> </w:t>
                            </w:r>
                            <w:r w:rsidRPr="00071EC3">
                              <w:t>ZHe single grain ages versus spherical radius. For ages younger than 50 Ma there is no clear re</w:t>
                            </w:r>
                            <w:r w:rsidR="00982950">
                              <w:t>la</w:t>
                            </w:r>
                            <w:r w:rsidRPr="00071EC3">
                              <w:t>tion between obtained age and Rs. Time spacing changes after 150 Ma in the chart to better visualize all the data. Samples comprised between 50 Ma and 150 Ma have only 2 grains preventing observations of any pattern. Sample CG44 show</w:t>
                            </w:r>
                            <w:r w:rsidR="00982950">
                              <w:t>s</w:t>
                            </w:r>
                            <w:r w:rsidRPr="00071EC3">
                              <w:t xml:space="preserve"> a clear positive relation. In this case</w:t>
                            </w:r>
                            <w:r w:rsidR="00982950">
                              <w:t>,</w:t>
                            </w:r>
                            <w:r w:rsidRPr="00071EC3">
                              <w:t xml:space="preserve"> the obtained ages could be affected by the mineral grain dimension</w:t>
                            </w:r>
                            <w:r w:rsidR="00982950">
                              <w:t>s</w:t>
                            </w:r>
                            <w:r w:rsidRPr="00071EC3">
                              <w:t xml:space="preserve">. </w:t>
                            </w:r>
                          </w:p>
                          <w:p w14:paraId="0343DEC7" w14:textId="379152EE" w:rsidR="00071EC3" w:rsidRPr="001E3F35" w:rsidRDefault="00071EC3" w:rsidP="00071EC3">
                            <w:pPr>
                              <w:pStyle w:val="Didascalia"/>
                              <w:rPr>
                                <w:rFonts w:cs="Times New Roman"/>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41DA2" id="Casella di testo 6" o:spid="_x0000_s1028" type="#_x0000_t202" style="position:absolute;left:0;text-align:left;margin-left:.3pt;margin-top:483.9pt;width:498.6pt;height:4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" stroked="f">
                <v:textbox inset="0,0,0,0">
                  <w:txbxContent>
                    <w:p w14:paraId="21FE618C" w14:textId="6DF56C17" w:rsidR="00071EC3" w:rsidRPr="00071EC3" w:rsidRDefault="00071EC3" w:rsidP="00071EC3">
                      <w:pPr>
                        <w:pStyle w:val="Didascalia"/>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Pr>
                          <w:b/>
                          <w:noProof/>
                        </w:rPr>
                        <w:t>3</w:t>
                      </w:r>
                      <w:r w:rsidRPr="00071EC3">
                        <w:rPr>
                          <w:b/>
                        </w:rPr>
                        <w:fldChar w:fldCharType="end"/>
                      </w:r>
                      <w:r w:rsidRPr="00071EC3">
                        <w:rPr>
                          <w:b/>
                        </w:rPr>
                        <w:t>:</w:t>
                      </w:r>
                      <w:r>
                        <w:t xml:space="preserve"> </w:t>
                      </w:r>
                      <w:r w:rsidRPr="00071EC3">
                        <w:t>ZHe single grain ages versus spherical radius. For ages younger than 50 Ma there is no clear re</w:t>
                      </w:r>
                      <w:r w:rsidR="00982950">
                        <w:t>la</w:t>
                      </w:r>
                      <w:r w:rsidRPr="00071EC3">
                        <w:t xml:space="preserve">tion between obtained age and </w:t>
                      </w:r>
                      <w:proofErr w:type="spellStart"/>
                      <w:r w:rsidRPr="00071EC3">
                        <w:t>Rs</w:t>
                      </w:r>
                      <w:proofErr w:type="spellEnd"/>
                      <w:r w:rsidRPr="00071EC3">
                        <w:t>. Time spacing changes after 150 Ma in the chart to better visualize all the data. Samples comprised between 50 Ma and 150 Ma have only 2 grains preventing observations of any pattern. Sample CG44 show</w:t>
                      </w:r>
                      <w:r w:rsidR="00982950">
                        <w:t>s</w:t>
                      </w:r>
                      <w:r w:rsidRPr="00071EC3">
                        <w:t xml:space="preserve"> a clear positive relation. In this case</w:t>
                      </w:r>
                      <w:r w:rsidR="00982950">
                        <w:t>,</w:t>
                      </w:r>
                      <w:r w:rsidRPr="00071EC3">
                        <w:t xml:space="preserve"> the obtained ages could be affected by the mineral grain dimension</w:t>
                      </w:r>
                      <w:r w:rsidR="00982950">
                        <w:t>s</w:t>
                      </w:r>
                      <w:r w:rsidRPr="00071EC3">
                        <w:t xml:space="preserve">. </w:t>
                      </w:r>
                    </w:p>
                    <w:p w14:paraId="0343DEC7" w14:textId="379152EE" w:rsidR="00071EC3" w:rsidRPr="001E3F35" w:rsidRDefault="00071EC3" w:rsidP="00071EC3">
                      <w:pPr>
                        <w:pStyle w:val="Didascalia"/>
                        <w:rPr>
                          <w:rFonts w:cs="Times New Roman"/>
                          <w:noProof/>
                          <w:sz w:val="24"/>
                        </w:rPr>
                      </w:pPr>
                    </w:p>
                  </w:txbxContent>
                </v:textbox>
                <w10:wrap type="topAndBottom"/>
              </v:shape>
            </w:pict>
          </mc:Fallback>
        </mc:AlternateContent>
      </w:r>
      <w:r>
        <w:rPr>
          <w:rFonts w:cs="Times New Roman"/>
          <w:noProof/>
        </w:rPr>
        <w:drawing>
          <wp:anchor distT="0" distB="0" distL="114300" distR="114300" simplePos="0" relativeHeight="251665408" behindDoc="0" locked="0" layoutInCell="1" allowOverlap="1" wp14:anchorId="3BD8375C" wp14:editId="6A706870">
            <wp:simplePos x="0" y="0"/>
            <wp:positionH relativeFrom="column">
              <wp:posOffset>0</wp:posOffset>
            </wp:positionH>
            <wp:positionV relativeFrom="paragraph">
              <wp:posOffset>4575175</wp:posOffset>
            </wp:positionV>
            <wp:extent cx="6332220" cy="1514475"/>
            <wp:effectExtent l="0" t="0" r="0" b="952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2220" cy="1514475"/>
                    </a:xfrm>
                    <a:prstGeom prst="rect">
                      <a:avLst/>
                    </a:prstGeom>
                  </pic:spPr>
                </pic:pic>
              </a:graphicData>
            </a:graphic>
          </wp:anchor>
        </w:drawing>
      </w:r>
      <w:r w:rsidR="002C2034" w:rsidRPr="00BB2D48">
        <w:rPr>
          <w:rFonts w:cs="Times New Roman"/>
        </w:rPr>
        <w:t xml:space="preserve">The diffusivity of He depends also on the size of the diffusion domain, which corresponds to the grain size, and this in turn affects the ZHe ages. Our ZHe ages are measured on crystal grains with width and thickness of at least 60 μm. Their equivalent spherical radius (Rs; Meesters &amp; Dunai, 2002) range from </w:t>
      </w:r>
      <w:r w:rsidR="000634DD" w:rsidRPr="00BB2D48">
        <w:rPr>
          <w:rFonts w:cs="Times New Roman"/>
        </w:rPr>
        <w:t>37</w:t>
      </w:r>
      <w:r w:rsidR="002C2034" w:rsidRPr="00BB2D48">
        <w:rPr>
          <w:rFonts w:cs="Times New Roman"/>
        </w:rPr>
        <w:t xml:space="preserve"> </w:t>
      </w:r>
      <w:r w:rsidR="000634DD" w:rsidRPr="00BB2D48">
        <w:rPr>
          <w:rFonts w:cs="Times New Roman"/>
        </w:rPr>
        <w:t xml:space="preserve">μm </w:t>
      </w:r>
      <w:r w:rsidR="002C2034" w:rsidRPr="00BB2D48">
        <w:rPr>
          <w:rFonts w:cs="Times New Roman"/>
        </w:rPr>
        <w:t xml:space="preserve">to </w:t>
      </w:r>
      <w:r w:rsidR="000634DD" w:rsidRPr="00BB2D48">
        <w:rPr>
          <w:rFonts w:cs="Times New Roman"/>
        </w:rPr>
        <w:t xml:space="preserve">70 </w:t>
      </w:r>
      <w:r w:rsidR="002C2034" w:rsidRPr="00BB2D48">
        <w:rPr>
          <w:rFonts w:cs="Times New Roman"/>
        </w:rPr>
        <w:t>μm</w:t>
      </w:r>
      <w:r w:rsidR="00A80ABC" w:rsidRPr="00BB2D48">
        <w:rPr>
          <w:rFonts w:cs="Times New Roman"/>
        </w:rPr>
        <w:t xml:space="preserve"> (Fig. S3)</w:t>
      </w:r>
      <w:r w:rsidR="002C2034" w:rsidRPr="00BB2D48">
        <w:rPr>
          <w:rFonts w:cs="Times New Roman"/>
        </w:rPr>
        <w:t xml:space="preserve">. </w:t>
      </w:r>
      <w:r w:rsidR="000634DD" w:rsidRPr="00BB2D48">
        <w:rPr>
          <w:rFonts w:cs="Times New Roman"/>
        </w:rPr>
        <w:t xml:space="preserve">Ages younger than </w:t>
      </w:r>
      <w:r w:rsidR="00DA56D0" w:rsidRPr="00BB2D48">
        <w:rPr>
          <w:rFonts w:cs="Times New Roman"/>
        </w:rPr>
        <w:t>50</w:t>
      </w:r>
      <w:r w:rsidR="000634DD" w:rsidRPr="00BB2D48">
        <w:rPr>
          <w:rFonts w:cs="Times New Roman"/>
        </w:rPr>
        <w:t xml:space="preserve"> Ma </w:t>
      </w:r>
      <w:r w:rsidR="00DA56D0" w:rsidRPr="00BB2D48">
        <w:rPr>
          <w:rFonts w:cs="Times New Roman"/>
        </w:rPr>
        <w:t xml:space="preserve">show a poor positive </w:t>
      </w:r>
      <w:r w:rsidR="00C901E8">
        <w:rPr>
          <w:rFonts w:cs="Times New Roman"/>
        </w:rPr>
        <w:t>cor</w:t>
      </w:r>
      <w:r w:rsidR="00DA56D0" w:rsidRPr="00BB2D48">
        <w:rPr>
          <w:rFonts w:cs="Times New Roman"/>
        </w:rPr>
        <w:t>relation</w:t>
      </w:r>
      <w:r w:rsidR="00C901E8">
        <w:rPr>
          <w:rFonts w:cs="Times New Roman"/>
        </w:rPr>
        <w:t xml:space="preserve"> with Rs</w:t>
      </w:r>
      <w:r w:rsidR="00DA56D0" w:rsidRPr="00BB2D48">
        <w:rPr>
          <w:rFonts w:cs="Times New Roman"/>
        </w:rPr>
        <w:t>. Ages between 50 Ma and 120 Ma are composed by only two grains</w:t>
      </w:r>
      <w:r w:rsidR="00B1247D">
        <w:rPr>
          <w:rFonts w:cs="Times New Roman"/>
        </w:rPr>
        <w:t>,</w:t>
      </w:r>
      <w:r w:rsidR="00DA56D0" w:rsidRPr="00BB2D48">
        <w:rPr>
          <w:rFonts w:cs="Times New Roman"/>
        </w:rPr>
        <w:t xml:space="preserve"> for which is impossible to unravel any patter</w:t>
      </w:r>
      <w:r w:rsidR="000D0228">
        <w:rPr>
          <w:rFonts w:cs="Times New Roman"/>
        </w:rPr>
        <w:t>n</w:t>
      </w:r>
      <w:r w:rsidR="00DA56D0" w:rsidRPr="00BB2D48">
        <w:rPr>
          <w:rFonts w:cs="Times New Roman"/>
        </w:rPr>
        <w:t xml:space="preserve">. Sample CG44 is the </w:t>
      </w:r>
      <w:r w:rsidR="000D0228">
        <w:rPr>
          <w:rFonts w:cs="Times New Roman"/>
        </w:rPr>
        <w:t>only one that</w:t>
      </w:r>
      <w:r w:rsidR="000D0228" w:rsidRPr="00BB2D48">
        <w:rPr>
          <w:rFonts w:cs="Times New Roman"/>
        </w:rPr>
        <w:t xml:space="preserve"> </w:t>
      </w:r>
      <w:r w:rsidR="00DA56D0" w:rsidRPr="00BB2D48">
        <w:rPr>
          <w:rFonts w:cs="Times New Roman"/>
        </w:rPr>
        <w:t>shows a clear positive relation between obtained age</w:t>
      </w:r>
      <w:r w:rsidR="000D0228">
        <w:rPr>
          <w:rFonts w:cs="Times New Roman"/>
        </w:rPr>
        <w:t>s</w:t>
      </w:r>
      <w:r w:rsidR="00DA56D0" w:rsidRPr="00BB2D48">
        <w:rPr>
          <w:rFonts w:cs="Times New Roman"/>
        </w:rPr>
        <w:t xml:space="preserve"> and </w:t>
      </w:r>
      <w:r w:rsidR="000D0228">
        <w:rPr>
          <w:rFonts w:cs="Times New Roman"/>
        </w:rPr>
        <w:t>Rs suggesting that</w:t>
      </w:r>
      <w:r w:rsidR="00DA56D0" w:rsidRPr="00BB2D48">
        <w:rPr>
          <w:rFonts w:cs="Times New Roman"/>
        </w:rPr>
        <w:t xml:space="preserve"> </w:t>
      </w:r>
      <w:r w:rsidR="000D0228">
        <w:rPr>
          <w:rFonts w:cs="Times New Roman"/>
        </w:rPr>
        <w:t xml:space="preserve">the </w:t>
      </w:r>
      <w:r w:rsidR="00DA56D0" w:rsidRPr="00BB2D48">
        <w:rPr>
          <w:rFonts w:cs="Times New Roman"/>
        </w:rPr>
        <w:t xml:space="preserve">obtained ages are </w:t>
      </w:r>
      <w:r w:rsidR="000D0228">
        <w:rPr>
          <w:rFonts w:cs="Times New Roman"/>
        </w:rPr>
        <w:t>influenced</w:t>
      </w:r>
      <w:r w:rsidR="000D0228" w:rsidRPr="00BB2D48">
        <w:rPr>
          <w:rFonts w:cs="Times New Roman"/>
        </w:rPr>
        <w:t xml:space="preserve"> </w:t>
      </w:r>
      <w:r w:rsidR="00DA56D0" w:rsidRPr="00BB2D48">
        <w:rPr>
          <w:rFonts w:cs="Times New Roman"/>
        </w:rPr>
        <w:t>by the dimension of the measured grains. However</w:t>
      </w:r>
      <w:r w:rsidR="00B1247D">
        <w:rPr>
          <w:rFonts w:cs="Times New Roman"/>
        </w:rPr>
        <w:t>,</w:t>
      </w:r>
      <w:r w:rsidR="00DA56D0" w:rsidRPr="00BB2D48">
        <w:rPr>
          <w:rFonts w:cs="Times New Roman"/>
        </w:rPr>
        <w:t xml:space="preserve"> these ages are not reset</w:t>
      </w:r>
      <w:r w:rsidR="000D0228">
        <w:rPr>
          <w:rFonts w:cs="Times New Roman"/>
        </w:rPr>
        <w:t xml:space="preserve"> and </w:t>
      </w:r>
      <w:r w:rsidR="00DA56D0" w:rsidRPr="00BB2D48">
        <w:rPr>
          <w:rFonts w:cs="Times New Roman"/>
        </w:rPr>
        <w:t xml:space="preserve">are not </w:t>
      </w:r>
      <w:r w:rsidR="000D0228">
        <w:rPr>
          <w:rFonts w:cs="Times New Roman"/>
        </w:rPr>
        <w:t xml:space="preserve">inverted to </w:t>
      </w:r>
      <w:r w:rsidR="00DA56D0" w:rsidRPr="00BB2D48">
        <w:rPr>
          <w:rFonts w:cs="Times New Roman"/>
        </w:rPr>
        <w:t>exhumation rate</w:t>
      </w:r>
      <w:r w:rsidR="000D0228">
        <w:rPr>
          <w:rFonts w:cs="Times New Roman"/>
        </w:rPr>
        <w:t>s</w:t>
      </w:r>
      <w:r w:rsidR="00DA56D0" w:rsidRPr="00BB2D48">
        <w:rPr>
          <w:rFonts w:cs="Times New Roman"/>
        </w:rPr>
        <w:t xml:space="preserve">. </w:t>
      </w:r>
    </w:p>
    <w:p w14:paraId="6495230E" w14:textId="46057993" w:rsidR="009A4093" w:rsidRDefault="002C2034" w:rsidP="002C2034">
      <w:pPr>
        <w:spacing w:after="0"/>
        <w:ind w:firstLine="284"/>
        <w:rPr>
          <w:rFonts w:cs="Times New Roman"/>
        </w:rPr>
      </w:pPr>
      <w:r w:rsidRPr="00BB2D48">
        <w:rPr>
          <w:rFonts w:cs="Times New Roman"/>
        </w:rPr>
        <w:lastRenderedPageBreak/>
        <w:t>Both theoretical and empirical evidence show that intracrystalline U-Th heterogeneity in zircons can lead to biases in (U-Th)/He ages if not accurately account</w:t>
      </w:r>
      <w:r w:rsidR="00B1247D">
        <w:rPr>
          <w:rFonts w:cs="Times New Roman"/>
        </w:rPr>
        <w:t>ing</w:t>
      </w:r>
      <w:r w:rsidRPr="00BB2D48">
        <w:rPr>
          <w:rFonts w:cs="Times New Roman"/>
        </w:rPr>
        <w:t xml:space="preserve"> for the alpha-ejection correction factor (Hourigan et al., 2005). We measured U-Th concentrations of single zircons along depth profiles</w:t>
      </w:r>
      <w:r w:rsidR="00B1247D">
        <w:rPr>
          <w:rFonts w:cs="Times New Roman"/>
        </w:rPr>
        <w:t xml:space="preserve"> into the grains</w:t>
      </w:r>
      <w:r w:rsidRPr="00BB2D48">
        <w:rPr>
          <w:rFonts w:cs="Times New Roman"/>
        </w:rPr>
        <w:t xml:space="preserve"> by Laser-Ablation Mass-Spectrometry </w:t>
      </w:r>
      <w:r w:rsidR="00B1247D">
        <w:rPr>
          <w:rFonts w:cs="Times New Roman"/>
        </w:rPr>
        <w:t>o</w:t>
      </w:r>
      <w:r w:rsidRPr="00BB2D48">
        <w:rPr>
          <w:rFonts w:cs="Times New Roman"/>
        </w:rPr>
        <w:t xml:space="preserve">n </w:t>
      </w:r>
      <w:r w:rsidR="00D74789" w:rsidRPr="00BB2D48">
        <w:rPr>
          <w:rFonts w:cs="Times New Roman"/>
        </w:rPr>
        <w:t>3 out of 32</w:t>
      </w:r>
      <w:r w:rsidRPr="00BB2D48">
        <w:rPr>
          <w:rFonts w:cs="Times New Roman"/>
        </w:rPr>
        <w:t xml:space="preserve"> total dated grains. </w:t>
      </w:r>
      <w:r w:rsidR="00D74789" w:rsidRPr="00BB2D48">
        <w:rPr>
          <w:rFonts w:cs="Times New Roman"/>
        </w:rPr>
        <w:t>We dated only 3 grains after technical problems prevent</w:t>
      </w:r>
      <w:r w:rsidR="00B1247D">
        <w:rPr>
          <w:rFonts w:cs="Times New Roman"/>
        </w:rPr>
        <w:t>ed</w:t>
      </w:r>
      <w:r w:rsidR="00D74789" w:rsidRPr="00BB2D48">
        <w:rPr>
          <w:rFonts w:cs="Times New Roman"/>
        </w:rPr>
        <w:t xml:space="preserve"> other dating. </w:t>
      </w:r>
      <w:r w:rsidRPr="00BB2D48">
        <w:rPr>
          <w:rFonts w:cs="Times New Roman"/>
        </w:rPr>
        <w:t xml:space="preserve">The amount of ablated material has been calculated for each grain by measuring the geometric features of the produced pit under a stereoscope. Mean percentage of volume loss due </w:t>
      </w:r>
      <w:r w:rsidR="00B1247D">
        <w:rPr>
          <w:rFonts w:cs="Times New Roman"/>
        </w:rPr>
        <w:t>to</w:t>
      </w:r>
      <w:r w:rsidR="00B1247D" w:rsidRPr="00BB2D48">
        <w:rPr>
          <w:rFonts w:cs="Times New Roman"/>
        </w:rPr>
        <w:t xml:space="preserve"> </w:t>
      </w:r>
      <w:r w:rsidRPr="00BB2D48">
        <w:rPr>
          <w:rFonts w:cs="Times New Roman"/>
        </w:rPr>
        <w:t>ablation is 0.</w:t>
      </w:r>
      <w:r w:rsidR="001C373E" w:rsidRPr="00BB2D48">
        <w:rPr>
          <w:rFonts w:cs="Times New Roman"/>
        </w:rPr>
        <w:t>35</w:t>
      </w:r>
      <w:r w:rsidRPr="00BB2D48">
        <w:rPr>
          <w:rFonts w:cs="Times New Roman"/>
        </w:rPr>
        <w:t xml:space="preserve"> % and is </w:t>
      </w:r>
      <w:r w:rsidR="001C373E" w:rsidRPr="00BB2D48">
        <w:rPr>
          <w:rFonts w:cs="Times New Roman"/>
        </w:rPr>
        <w:t>between 0.31</w:t>
      </w:r>
      <w:r w:rsidR="007964AA" w:rsidRPr="00BB2D48">
        <w:rPr>
          <w:rFonts w:cs="Times New Roman"/>
        </w:rPr>
        <w:t>% (FCT, Z15</w:t>
      </w:r>
      <w:r w:rsidR="001C373E" w:rsidRPr="00BB2D48">
        <w:rPr>
          <w:rFonts w:cs="Times New Roman"/>
        </w:rPr>
        <w:t>) and 0.</w:t>
      </w:r>
      <w:r w:rsidRPr="00BB2D48">
        <w:rPr>
          <w:rFonts w:cs="Times New Roman"/>
        </w:rPr>
        <w:t>4% (CG</w:t>
      </w:r>
      <w:r w:rsidR="001C373E" w:rsidRPr="00BB2D48">
        <w:rPr>
          <w:rFonts w:cs="Times New Roman"/>
        </w:rPr>
        <w:t>48_, Z2</w:t>
      </w:r>
      <w:r w:rsidRPr="00BB2D48">
        <w:rPr>
          <w:rFonts w:cs="Times New Roman"/>
        </w:rPr>
        <w:t xml:space="preserve">). For the grains where the U-Th zonation profiles were measured, we calculated bulk He retention assuming self-similar growth condition as in Hourigan et al. (2005). The corresponding alpha ejection factor is reported as FTZK in Table </w:t>
      </w:r>
      <w:r w:rsidR="001C373E" w:rsidRPr="00BB2D48">
        <w:rPr>
          <w:rFonts w:cs="Times New Roman"/>
        </w:rPr>
        <w:t>2</w:t>
      </w:r>
      <w:r w:rsidRPr="00BB2D48">
        <w:rPr>
          <w:rFonts w:cs="Times New Roman"/>
        </w:rPr>
        <w:t xml:space="preserve">. For the remaining grains we calculated the alpha-ejection factor assuming no zonation and following Ketcham et al. (2011). The resulting alpha-ejection correction factor for these grains is reported as FTK in Table </w:t>
      </w:r>
      <w:r w:rsidR="001C373E" w:rsidRPr="00BB2D48">
        <w:rPr>
          <w:rFonts w:cs="Times New Roman"/>
        </w:rPr>
        <w:t>2</w:t>
      </w:r>
      <w:r w:rsidRPr="00BB2D48">
        <w:rPr>
          <w:rFonts w:cs="Times New Roman"/>
        </w:rPr>
        <w:t>.</w:t>
      </w:r>
    </w:p>
    <w:p w14:paraId="7A8B9439" w14:textId="77777777" w:rsidR="005B5698" w:rsidRDefault="005B5698" w:rsidP="002C2034">
      <w:pPr>
        <w:spacing w:after="0"/>
        <w:ind w:firstLine="284"/>
        <w:rPr>
          <w:rFonts w:cs="Times New Roman"/>
        </w:rPr>
      </w:pPr>
    </w:p>
    <w:p w14:paraId="5337BF87" w14:textId="77777777" w:rsidR="005B5698" w:rsidRPr="00BB2D48" w:rsidRDefault="005B5698" w:rsidP="005B5698">
      <w:pPr>
        <w:rPr>
          <w:rFonts w:cs="Times New Roman"/>
          <w:b/>
        </w:rPr>
      </w:pPr>
      <w:r w:rsidRPr="00BB2D48">
        <w:rPr>
          <w:rFonts w:cs="Times New Roman"/>
          <w:b/>
        </w:rPr>
        <w:t>S1.2 Apatite (U-Th)/He (AHe) sample preparation and analytical techniques</w:t>
      </w:r>
    </w:p>
    <w:p w14:paraId="1CBB7F9A" w14:textId="7E4F563D" w:rsidR="005B5698" w:rsidRPr="00BB2D48" w:rsidRDefault="005B5698" w:rsidP="005B5698">
      <w:pPr>
        <w:ind w:firstLine="284"/>
        <w:rPr>
          <w:rFonts w:cs="Times New Roman"/>
        </w:rPr>
      </w:pPr>
      <w:r w:rsidRPr="00BB2D48">
        <w:rPr>
          <w:rFonts w:cs="Times New Roman"/>
        </w:rPr>
        <w:t xml:space="preserve">Apatite grains with euhedral morphology and no visible inclusions were selected under a polarized microscope. The dimensions of each grain were measured and only grains &gt; 60 μm in both length and width were considered to be suitable for (U-Th)/He dating. Each grain was then wrapped in a platinum foil and loaded into </w:t>
      </w:r>
      <w:r w:rsidR="00982950">
        <w:rPr>
          <w:rFonts w:cs="Times New Roman"/>
        </w:rPr>
        <w:t>an evacuated</w:t>
      </w:r>
      <w:r w:rsidR="00982950" w:rsidRPr="00BB2D48">
        <w:rPr>
          <w:rFonts w:cs="Times New Roman"/>
        </w:rPr>
        <w:t xml:space="preserve"> </w:t>
      </w:r>
      <w:r w:rsidRPr="00BB2D48">
        <w:rPr>
          <w:rFonts w:cs="Times New Roman"/>
        </w:rPr>
        <w:t xml:space="preserve">laser chamber. </w:t>
      </w:r>
      <w:r w:rsidRPr="00BB2D48">
        <w:rPr>
          <w:rFonts w:cs="Times New Roman"/>
          <w:vertAlign w:val="superscript"/>
        </w:rPr>
        <w:t>4</w:t>
      </w:r>
      <w:r w:rsidRPr="00BB2D48">
        <w:rPr>
          <w:rFonts w:cs="Times New Roman"/>
        </w:rPr>
        <w:t>He abundances for each grain were determined by degassing at a fixed temperature heated by a diode laser (in the range of 800-900°C) for three minutes and measuring the released gas on a magnet sector</w:t>
      </w:r>
      <w:r w:rsidR="00982950">
        <w:rPr>
          <w:rFonts w:cs="Times New Roman"/>
        </w:rPr>
        <w:t>-</w:t>
      </w:r>
      <w:r w:rsidRPr="00BB2D48">
        <w:rPr>
          <w:rFonts w:cs="Times New Roman"/>
        </w:rPr>
        <w:t>field mass spectrometer equipped with a Baur-Signer ion source at ETH</w:t>
      </w:r>
      <w:r w:rsidRPr="00BB2D48">
        <w:rPr>
          <w:rFonts w:cs="Times New Roman"/>
          <w:lang w:eastAsia="zh-CN"/>
        </w:rPr>
        <w:t xml:space="preserve"> </w:t>
      </w:r>
      <w:r w:rsidRPr="00BB2D48">
        <w:rPr>
          <w:rFonts w:cs="Times New Roman"/>
        </w:rPr>
        <w:t>Zurich. After degassing, each crystal was weighed before and after adding the U-Th-Sm isotope spike. The grain was then dissolved in HNO</w:t>
      </w:r>
      <w:r w:rsidRPr="00BB2D48">
        <w:rPr>
          <w:rFonts w:cs="Times New Roman"/>
          <w:vertAlign w:val="subscript"/>
        </w:rPr>
        <w:t>3</w:t>
      </w:r>
      <w:r w:rsidRPr="00BB2D48">
        <w:rPr>
          <w:rFonts w:cs="Times New Roman"/>
        </w:rPr>
        <w:t>. The U-Th-Sm concentration of each dissolved grain was measured on an inductively</w:t>
      </w:r>
      <w:r w:rsidRPr="00BB2D48">
        <w:rPr>
          <w:rFonts w:cs="Times New Roman"/>
          <w:lang w:eastAsia="zh-CN"/>
        </w:rPr>
        <w:t xml:space="preserve"> </w:t>
      </w:r>
      <w:r w:rsidRPr="00BB2D48">
        <w:rPr>
          <w:rFonts w:cs="Times New Roman"/>
        </w:rPr>
        <w:t>coupled plasma quadrupole mass</w:t>
      </w:r>
      <w:r w:rsidR="00982950">
        <w:rPr>
          <w:rFonts w:cs="Times New Roman"/>
        </w:rPr>
        <w:t xml:space="preserve"> </w:t>
      </w:r>
      <w:r w:rsidRPr="00BB2D48">
        <w:rPr>
          <w:rFonts w:cs="Times New Roman"/>
        </w:rPr>
        <w:t>spectrometer</w:t>
      </w:r>
      <w:r w:rsidRPr="00BB2D48">
        <w:rPr>
          <w:rFonts w:cs="Times New Roman"/>
          <w:lang w:eastAsia="zh-CN"/>
        </w:rPr>
        <w:t xml:space="preserve"> at ETH Zurich (PerkinElmer ElanDRC-e)</w:t>
      </w:r>
      <w:r w:rsidRPr="00BB2D48">
        <w:rPr>
          <w:rFonts w:cs="Times New Roman"/>
        </w:rPr>
        <w:t>. The age calculation was processed by applying the α-ejection correction factor, F</w:t>
      </w:r>
      <w:r w:rsidRPr="00BB2D48">
        <w:rPr>
          <w:rFonts w:cs="Times New Roman"/>
          <w:vertAlign w:val="subscript"/>
        </w:rPr>
        <w:t>T</w:t>
      </w:r>
      <w:r>
        <w:rPr>
          <w:rFonts w:cs="Times New Roman"/>
          <w:vertAlign w:val="subscript"/>
        </w:rPr>
        <w:t xml:space="preserve"> </w:t>
      </w:r>
      <w:r>
        <w:rPr>
          <w:rFonts w:cs="Times New Roman"/>
        </w:rPr>
        <w:t>(</w:t>
      </w:r>
      <w:r w:rsidR="00FC09D6">
        <w:rPr>
          <w:rFonts w:cs="Times New Roman"/>
        </w:rPr>
        <w:t>Ketcham et al., 2011</w:t>
      </w:r>
      <w:r>
        <w:rPr>
          <w:rFonts w:cs="Times New Roman"/>
        </w:rPr>
        <w:t>)</w:t>
      </w:r>
      <w:r w:rsidRPr="00BB2D48">
        <w:rPr>
          <w:rFonts w:cs="Times New Roman"/>
        </w:rPr>
        <w:t xml:space="preserve"> to each crystal to derive a corrected (U-Th)/He age (Table 3). The age error was derived from the analytical uncertainties in U, Th, and Sm measurements, and the variance of the single grain ages. Four fragments </w:t>
      </w:r>
      <w:r w:rsidR="00982950">
        <w:rPr>
          <w:rFonts w:cs="Times New Roman"/>
        </w:rPr>
        <w:t>of</w:t>
      </w:r>
      <w:r w:rsidR="00982950" w:rsidRPr="00BB2D48">
        <w:rPr>
          <w:rFonts w:cs="Times New Roman"/>
        </w:rPr>
        <w:t xml:space="preserve"> </w:t>
      </w:r>
      <w:r w:rsidRPr="00BB2D48">
        <w:rPr>
          <w:rFonts w:cs="Times New Roman"/>
        </w:rPr>
        <w:t>an apatite crystal of the standard Durango were processed together with and identically to our samples to validate the reproducibility and accuracy of our measurements and AHe age determinations. The obtained mean age is 30.79 ±0.003 (1σ; Table S2)</w:t>
      </w:r>
      <w:r w:rsidR="00982950">
        <w:rPr>
          <w:rFonts w:cs="Times New Roman"/>
        </w:rPr>
        <w:t>,</w:t>
      </w:r>
      <w:r w:rsidRPr="00BB2D48">
        <w:rPr>
          <w:rFonts w:cs="Times New Roman"/>
        </w:rPr>
        <w:t xml:space="preserve"> which is in very good agreement with the nominal age of the Durango apatite (31.44 ± 0.18 Ma, McDowell et al., 2005) and differs by only 2.0%.</w:t>
      </w:r>
    </w:p>
    <w:p w14:paraId="57C24757" w14:textId="5E11C272" w:rsidR="005B5698" w:rsidRPr="00BB2D48" w:rsidRDefault="00071EC3" w:rsidP="002C2034">
      <w:pPr>
        <w:spacing w:after="0"/>
        <w:ind w:firstLine="284"/>
        <w:rPr>
          <w:rFonts w:cs="Times New Roman"/>
        </w:rPr>
      </w:pPr>
      <w:r>
        <w:rPr>
          <w:rFonts w:cs="Times New Roman"/>
          <w:noProof/>
        </w:rPr>
        <w:lastRenderedPageBreak/>
        <w:drawing>
          <wp:anchor distT="0" distB="0" distL="114300" distR="114300" simplePos="0" relativeHeight="251668480" behindDoc="0" locked="0" layoutInCell="1" allowOverlap="1" wp14:anchorId="4FAD1812" wp14:editId="1D8769AF">
            <wp:simplePos x="0" y="0"/>
            <wp:positionH relativeFrom="column">
              <wp:posOffset>1892300</wp:posOffset>
            </wp:positionH>
            <wp:positionV relativeFrom="paragraph">
              <wp:posOffset>263525</wp:posOffset>
            </wp:positionV>
            <wp:extent cx="2659380" cy="2599690"/>
            <wp:effectExtent l="0" t="0" r="762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S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80" cy="2599690"/>
                    </a:xfrm>
                    <a:prstGeom prst="rect">
                      <a:avLst/>
                    </a:prstGeom>
                  </pic:spPr>
                </pic:pic>
              </a:graphicData>
            </a:graphic>
            <wp14:sizeRelH relativeFrom="margin">
              <wp14:pctWidth>0</wp14:pctWidth>
            </wp14:sizeRelH>
            <wp14:sizeRelV relativeFrom="margin">
              <wp14:pctHeight>0</wp14:pctHeight>
            </wp14:sizeRelV>
          </wp:anchor>
        </w:drawing>
      </w:r>
    </w:p>
    <w:p w14:paraId="7CE1B8CA" w14:textId="6A5D6F65" w:rsidR="003374C4" w:rsidRPr="00BB2D48" w:rsidRDefault="00071EC3" w:rsidP="002C2034">
      <w:pPr>
        <w:spacing w:after="0"/>
        <w:ind w:firstLine="284"/>
        <w:rPr>
          <w:rFonts w:cs="Times New Roman"/>
        </w:rPr>
      </w:pPr>
      <w:r>
        <w:rPr>
          <w:noProof/>
        </w:rPr>
        <mc:AlternateContent>
          <mc:Choice Requires="wps">
            <w:drawing>
              <wp:anchor distT="0" distB="0" distL="114300" distR="114300" simplePos="0" relativeHeight="251670528" behindDoc="0" locked="0" layoutInCell="1" allowOverlap="1" wp14:anchorId="2F331478" wp14:editId="5E8DCAAF">
                <wp:simplePos x="0" y="0"/>
                <wp:positionH relativeFrom="column">
                  <wp:posOffset>431709</wp:posOffset>
                </wp:positionH>
                <wp:positionV relativeFrom="paragraph">
                  <wp:posOffset>2827020</wp:posOffset>
                </wp:positionV>
                <wp:extent cx="5093335" cy="534035"/>
                <wp:effectExtent l="0" t="0" r="0" b="0"/>
                <wp:wrapTopAndBottom/>
                <wp:docPr id="8" name="Casella di testo 8"/>
                <wp:cNvGraphicFramePr/>
                <a:graphic xmlns:a="http://schemas.openxmlformats.org/drawingml/2006/main">
                  <a:graphicData uri="http://schemas.microsoft.com/office/word/2010/wordprocessingShape">
                    <wps:wsp>
                      <wps:cNvSpPr txBox="1"/>
                      <wps:spPr>
                        <a:xfrm>
                          <a:off x="0" y="0"/>
                          <a:ext cx="5093335" cy="534035"/>
                        </a:xfrm>
                        <a:prstGeom prst="rect">
                          <a:avLst/>
                        </a:prstGeom>
                        <a:solidFill>
                          <a:prstClr val="white"/>
                        </a:solidFill>
                        <a:ln>
                          <a:noFill/>
                        </a:ln>
                        <a:effectLst/>
                      </wps:spPr>
                      <wps:txbx>
                        <w:txbxContent>
                          <w:p w14:paraId="3E9A4846" w14:textId="0AD1C6F9" w:rsidR="00071EC3" w:rsidRPr="00071EC3" w:rsidRDefault="00071EC3" w:rsidP="00071EC3">
                            <w:pPr>
                              <w:pStyle w:val="Didascalia"/>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sidRPr="00071EC3">
                              <w:rPr>
                                <w:b/>
                                <w:noProof/>
                              </w:rPr>
                              <w:t>4</w:t>
                            </w:r>
                            <w:r w:rsidRPr="00071EC3">
                              <w:rPr>
                                <w:b/>
                              </w:rPr>
                              <w:fldChar w:fldCharType="end"/>
                            </w:r>
                            <w:r w:rsidRPr="00071EC3">
                              <w:rPr>
                                <w:b/>
                              </w:rPr>
                              <w:t>:</w:t>
                            </w:r>
                            <w:r>
                              <w:t xml:space="preserve"> Expected</w:t>
                            </w:r>
                            <w:r w:rsidRPr="00071EC3">
                              <w:t xml:space="preserve"> hangingwall movement (blue arrow) of the Bucaramanga fault, obtained taking into account orientation of the fault and present day block movement as from GPS horizontal vector</w:t>
                            </w:r>
                            <w:r w:rsidR="00982950">
                              <w:t>s</w:t>
                            </w:r>
                            <w:r w:rsidRPr="00071EC3">
                              <w:t xml:space="preserve"> (red arrows; from Perez et al., 2018) </w:t>
                            </w:r>
                          </w:p>
                          <w:p w14:paraId="1F924DAB" w14:textId="016D792B" w:rsidR="00071EC3" w:rsidRPr="00FC56D8" w:rsidRDefault="00071EC3" w:rsidP="00071EC3">
                            <w:pPr>
                              <w:pStyle w:val="Didascalia"/>
                              <w:rPr>
                                <w:rFonts w:cs="Times New Roman"/>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1478" id="Casella di testo 8" o:spid="_x0000_s1029" type="#_x0000_t202" style="position:absolute;left:0;text-align:left;margin-left:34pt;margin-top:222.6pt;width:401.05pt;height:4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" stroked="f">
                <v:textbox inset="0,0,0,0">
                  <w:txbxContent>
                    <w:p w14:paraId="3E9A4846" w14:textId="0AD1C6F9" w:rsidR="00071EC3" w:rsidRPr="00071EC3" w:rsidRDefault="00071EC3" w:rsidP="00071EC3">
                      <w:pPr>
                        <w:pStyle w:val="Didascalia"/>
                      </w:pPr>
                      <w:r w:rsidRPr="00071EC3">
                        <w:rPr>
                          <w:b/>
                        </w:rPr>
                        <w:t>Figure S</w:t>
                      </w:r>
                      <w:r w:rsidRPr="00071EC3">
                        <w:rPr>
                          <w:b/>
                        </w:rPr>
                        <w:fldChar w:fldCharType="begin"/>
                      </w:r>
                      <w:r w:rsidRPr="00071EC3">
                        <w:rPr>
                          <w:b/>
                        </w:rPr>
                        <w:instrText xml:space="preserve"> SEQ Figure_S \* ARABIC </w:instrText>
                      </w:r>
                      <w:r w:rsidRPr="00071EC3">
                        <w:rPr>
                          <w:b/>
                        </w:rPr>
                        <w:fldChar w:fldCharType="separate"/>
                      </w:r>
                      <w:r w:rsidRPr="00071EC3">
                        <w:rPr>
                          <w:b/>
                          <w:noProof/>
                        </w:rPr>
                        <w:t>4</w:t>
                      </w:r>
                      <w:r w:rsidRPr="00071EC3">
                        <w:rPr>
                          <w:b/>
                        </w:rPr>
                        <w:fldChar w:fldCharType="end"/>
                      </w:r>
                      <w:r w:rsidRPr="00071EC3">
                        <w:rPr>
                          <w:b/>
                        </w:rPr>
                        <w:t>:</w:t>
                      </w:r>
                      <w:r>
                        <w:t xml:space="preserve"> Expected</w:t>
                      </w:r>
                      <w:r w:rsidRPr="00071EC3">
                        <w:t xml:space="preserve"> hangingwall movement (blue arrow) of the Bucaramanga fault, obtained taking into account orientation of the fault and present day block movement as from GPS horizontal vector</w:t>
                      </w:r>
                      <w:r w:rsidR="00982950">
                        <w:t>s</w:t>
                      </w:r>
                      <w:r w:rsidRPr="00071EC3">
                        <w:t xml:space="preserve"> (red arrows; from Perez et al., 2018) </w:t>
                      </w:r>
                    </w:p>
                    <w:p w14:paraId="1F924DAB" w14:textId="016D792B" w:rsidR="00071EC3" w:rsidRPr="00FC56D8" w:rsidRDefault="00071EC3" w:rsidP="00071EC3">
                      <w:pPr>
                        <w:pStyle w:val="Didascalia"/>
                        <w:rPr>
                          <w:rFonts w:cs="Times New Roman"/>
                          <w:noProof/>
                          <w:sz w:val="24"/>
                        </w:rPr>
                      </w:pPr>
                    </w:p>
                  </w:txbxContent>
                </v:textbox>
                <w10:wrap type="topAndBottom"/>
              </v:shape>
            </w:pict>
          </mc:Fallback>
        </mc:AlternateContent>
      </w:r>
    </w:p>
    <w:p w14:paraId="673CEDAD" w14:textId="77777777" w:rsidR="00071EC3" w:rsidRDefault="00071EC3">
      <w:pPr>
        <w:spacing w:after="160" w:line="259" w:lineRule="auto"/>
        <w:jc w:val="left"/>
        <w:rPr>
          <w:rFonts w:cs="Times New Roman"/>
          <w:b/>
        </w:rPr>
      </w:pPr>
      <w:r>
        <w:rPr>
          <w:rFonts w:cs="Times New Roman"/>
          <w:b/>
        </w:rPr>
        <w:br w:type="page"/>
      </w:r>
    </w:p>
    <w:p w14:paraId="25E4A287" w14:textId="00A579C3" w:rsidR="00BB2D48" w:rsidRPr="00C55D2B" w:rsidRDefault="00BB2D48" w:rsidP="00BB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rPr>
      </w:pPr>
      <w:r w:rsidRPr="00C55D2B">
        <w:rPr>
          <w:rFonts w:cs="Times New Roman"/>
          <w:b/>
        </w:rPr>
        <w:lastRenderedPageBreak/>
        <w:t>References</w:t>
      </w:r>
    </w:p>
    <w:p w14:paraId="74A481C2" w14:textId="77777777" w:rsidR="0020492B" w:rsidRPr="00C55D2B" w:rsidRDefault="0020492B" w:rsidP="0020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cs="Times New Roman"/>
          <w:sz w:val="20"/>
          <w:szCs w:val="20"/>
        </w:rPr>
      </w:pPr>
      <w:r w:rsidRPr="00C55D2B">
        <w:rPr>
          <w:rFonts w:cs="Times New Roman"/>
          <w:sz w:val="20"/>
          <w:szCs w:val="20"/>
        </w:rPr>
        <w:t>Flowers, R.M., Shuster, D.L., Wernicke, B.P., Farley, K.A., 2007. Radiation damage control on apatite (U-Th)/He dates from the Grand Canyon region, Colorado Plateau. Geology 35, 447. doi:10.1130/G23471A.101.024</w:t>
      </w:r>
    </w:p>
    <w:p w14:paraId="6612D561" w14:textId="77777777" w:rsidR="0020492B" w:rsidRPr="00C55D2B" w:rsidRDefault="0020492B" w:rsidP="0020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cs="Times New Roman"/>
          <w:sz w:val="20"/>
          <w:szCs w:val="20"/>
        </w:rPr>
      </w:pPr>
      <w:r w:rsidRPr="00C55D2B">
        <w:rPr>
          <w:rFonts w:cs="Times New Roman"/>
          <w:sz w:val="20"/>
          <w:szCs w:val="20"/>
        </w:rPr>
        <w:t>Guenthner, W.R., Reiners, P.W., Ketcham, R.A., Nasdala, L., Giester, G., 2013. Helium diffusion in natural zircon: Radiation damage, anisotropy, and the interpretation of zircon (U-Th)/He thermochronology.</w:t>
      </w:r>
    </w:p>
    <w:p w14:paraId="7B90C546" w14:textId="77777777" w:rsidR="0020492B" w:rsidRPr="00C55D2B" w:rsidRDefault="0020492B" w:rsidP="0020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cs="Times New Roman"/>
          <w:sz w:val="20"/>
          <w:szCs w:val="20"/>
        </w:rPr>
      </w:pPr>
      <w:r w:rsidRPr="00C55D2B">
        <w:rPr>
          <w:rFonts w:cs="Times New Roman"/>
          <w:sz w:val="20"/>
          <w:szCs w:val="20"/>
        </w:rPr>
        <w:t xml:space="preserve">Hourigan, J.K., Reiners, P.W., Brandon, M.T., 2005. U-Th zonation-dependent alpha-ejection in (U-Th)/He chronometry. Geochimica et Cosmochimica Acta 69, 3349–3365. doi:10.1016/j.gca.2005. </w:t>
      </w:r>
    </w:p>
    <w:p w14:paraId="7BED02DD" w14:textId="77777777" w:rsidR="0020492B" w:rsidRPr="00C55D2B" w:rsidRDefault="0020492B" w:rsidP="0020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cs="Times New Roman"/>
          <w:sz w:val="20"/>
          <w:szCs w:val="20"/>
        </w:rPr>
      </w:pPr>
      <w:r w:rsidRPr="00C55D2B">
        <w:rPr>
          <w:rFonts w:cs="Times New Roman"/>
          <w:sz w:val="20"/>
          <w:szCs w:val="20"/>
        </w:rPr>
        <w:t>Ketcham, R. A., Gautheron, C., &amp; Tassan-Got, L. 2011. Accounting for long alpha-particle stopping distances in (U–Th–Sm)/He geochronology: Refinement of the baseline case. Geochimica et Cosmochimica Acta, 75(24), 7779-7791.</w:t>
      </w:r>
    </w:p>
    <w:p w14:paraId="4E93E2FA" w14:textId="77777777" w:rsidR="0020492B" w:rsidRPr="00C55D2B" w:rsidRDefault="0020492B" w:rsidP="0020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cs="Times New Roman"/>
          <w:sz w:val="20"/>
          <w:szCs w:val="20"/>
        </w:rPr>
      </w:pPr>
      <w:r w:rsidRPr="00C55D2B">
        <w:rPr>
          <w:rFonts w:cs="Times New Roman"/>
          <w:sz w:val="20"/>
          <w:szCs w:val="20"/>
        </w:rPr>
        <w:t>McDowell, F.W., McIntosh, W.C., Farley, K.A., 2005. A precise 40 Ar– 39 Ar reference age for the Durango apatite (U–Th)/He and fission-track dating standard. Chemical Geology 214, 249–263.</w:t>
      </w:r>
    </w:p>
    <w:p w14:paraId="1A77730E" w14:textId="77777777" w:rsidR="0020492B" w:rsidRPr="0020492B" w:rsidRDefault="0020492B" w:rsidP="0020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cs="Times New Roman"/>
          <w:sz w:val="20"/>
          <w:szCs w:val="20"/>
        </w:rPr>
      </w:pPr>
      <w:r w:rsidRPr="0020492B">
        <w:rPr>
          <w:rFonts w:cs="Times New Roman"/>
          <w:sz w:val="20"/>
          <w:szCs w:val="20"/>
        </w:rPr>
        <w:t>Meesters, A. G. C. A., &amp; Dunai, T. J. (2002). Solving the production–diffusion equation for finite diffusion domains of various shapes: Part II. Application to cases with α-ejection and nonhomogeneous distribution of the source. Chemical Geology, 186(1-2), 57-73.</w:t>
      </w:r>
    </w:p>
    <w:p w14:paraId="73859894" w14:textId="77777777" w:rsidR="0020492B" w:rsidRPr="0020492B" w:rsidRDefault="0020492B" w:rsidP="0020492B">
      <w:pPr>
        <w:spacing w:line="276" w:lineRule="auto"/>
        <w:ind w:left="284" w:hanging="284"/>
        <w:rPr>
          <w:rFonts w:cs="Times New Roman"/>
          <w:sz w:val="20"/>
          <w:szCs w:val="20"/>
        </w:rPr>
      </w:pPr>
      <w:r w:rsidRPr="0020492B">
        <w:rPr>
          <w:rFonts w:cs="Times New Roman"/>
          <w:sz w:val="20"/>
          <w:szCs w:val="20"/>
        </w:rPr>
        <w:t xml:space="preserve">Shuster, D. L., Flowers, R. M., &amp; Farley, K. A. (2006). The influence of natural radiation damage on helium diffusion kinetics in apatite. </w:t>
      </w:r>
      <w:r w:rsidRPr="0020492B">
        <w:rPr>
          <w:rFonts w:cs="Times New Roman"/>
          <w:i/>
          <w:sz w:val="20"/>
          <w:szCs w:val="20"/>
        </w:rPr>
        <w:t>Earth and Planetary Science Letters, 249</w:t>
      </w:r>
      <w:r w:rsidRPr="0020492B">
        <w:rPr>
          <w:rFonts w:cs="Times New Roman"/>
          <w:sz w:val="20"/>
          <w:szCs w:val="20"/>
        </w:rPr>
        <w:t>(3), 148-161.</w:t>
      </w:r>
    </w:p>
    <w:sectPr w:rsidR="0020492B" w:rsidRPr="0020492B">
      <w:pgSz w:w="12240" w:h="15840"/>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FE1E9" w16cid:durableId="1FD8E4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es-419"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D7"/>
    <w:rsid w:val="000634DD"/>
    <w:rsid w:val="00071EC3"/>
    <w:rsid w:val="000D0228"/>
    <w:rsid w:val="00102CA6"/>
    <w:rsid w:val="00123E6B"/>
    <w:rsid w:val="001B7223"/>
    <w:rsid w:val="001C373E"/>
    <w:rsid w:val="0020492B"/>
    <w:rsid w:val="00283352"/>
    <w:rsid w:val="00296922"/>
    <w:rsid w:val="002A06B1"/>
    <w:rsid w:val="002C2034"/>
    <w:rsid w:val="00336D1A"/>
    <w:rsid w:val="003374C4"/>
    <w:rsid w:val="00386747"/>
    <w:rsid w:val="00392ADB"/>
    <w:rsid w:val="003B565E"/>
    <w:rsid w:val="003D6E7F"/>
    <w:rsid w:val="003E3F2E"/>
    <w:rsid w:val="00407BE3"/>
    <w:rsid w:val="00445F0B"/>
    <w:rsid w:val="00490C9B"/>
    <w:rsid w:val="004A0AAC"/>
    <w:rsid w:val="0056473C"/>
    <w:rsid w:val="005B5698"/>
    <w:rsid w:val="005B7D20"/>
    <w:rsid w:val="005D3AE3"/>
    <w:rsid w:val="005D5090"/>
    <w:rsid w:val="00645225"/>
    <w:rsid w:val="00653CEA"/>
    <w:rsid w:val="006E4DCC"/>
    <w:rsid w:val="007869CF"/>
    <w:rsid w:val="007964AA"/>
    <w:rsid w:val="007B7E95"/>
    <w:rsid w:val="00896A96"/>
    <w:rsid w:val="008B76EF"/>
    <w:rsid w:val="00910F61"/>
    <w:rsid w:val="00982950"/>
    <w:rsid w:val="009905FC"/>
    <w:rsid w:val="00A224C7"/>
    <w:rsid w:val="00A509D7"/>
    <w:rsid w:val="00A80ABC"/>
    <w:rsid w:val="00B1247D"/>
    <w:rsid w:val="00B57FEE"/>
    <w:rsid w:val="00B60758"/>
    <w:rsid w:val="00B86B7F"/>
    <w:rsid w:val="00BB104C"/>
    <w:rsid w:val="00BB2D48"/>
    <w:rsid w:val="00BB312C"/>
    <w:rsid w:val="00BC3CAB"/>
    <w:rsid w:val="00BC46EB"/>
    <w:rsid w:val="00C15113"/>
    <w:rsid w:val="00C55D2B"/>
    <w:rsid w:val="00C901E8"/>
    <w:rsid w:val="00C9765A"/>
    <w:rsid w:val="00CD40A2"/>
    <w:rsid w:val="00D5348B"/>
    <w:rsid w:val="00D6013A"/>
    <w:rsid w:val="00D74789"/>
    <w:rsid w:val="00D87A00"/>
    <w:rsid w:val="00DA56D0"/>
    <w:rsid w:val="00DA7A2E"/>
    <w:rsid w:val="00DC7142"/>
    <w:rsid w:val="00DD166D"/>
    <w:rsid w:val="00DF07FA"/>
    <w:rsid w:val="00E0323C"/>
    <w:rsid w:val="00E96DFB"/>
    <w:rsid w:val="00ED5062"/>
    <w:rsid w:val="00EE5DB2"/>
    <w:rsid w:val="00EE7A5F"/>
    <w:rsid w:val="00F60359"/>
    <w:rsid w:val="00F87FC9"/>
    <w:rsid w:val="00FC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3936"/>
  <w15:chartTrackingRefBased/>
  <w15:docId w15:val="{CFE3320A-7D0D-4C3C-B37F-FAB464E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09D7"/>
    <w:pPr>
      <w:spacing w:after="40" w:line="36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urrent-selection">
    <w:name w:val="current-selection"/>
    <w:basedOn w:val="Carpredefinitoparagrafo"/>
    <w:rsid w:val="00A509D7"/>
  </w:style>
  <w:style w:type="character" w:styleId="Rimandocommento">
    <w:name w:val="annotation reference"/>
    <w:basedOn w:val="Carpredefinitoparagrafo"/>
    <w:uiPriority w:val="99"/>
    <w:semiHidden/>
    <w:unhideWhenUsed/>
    <w:rsid w:val="00910F61"/>
    <w:rPr>
      <w:sz w:val="16"/>
      <w:szCs w:val="16"/>
    </w:rPr>
  </w:style>
  <w:style w:type="paragraph" w:styleId="Testocommento">
    <w:name w:val="annotation text"/>
    <w:basedOn w:val="Normale"/>
    <w:link w:val="TestocommentoCarattere"/>
    <w:uiPriority w:val="99"/>
    <w:semiHidden/>
    <w:unhideWhenUsed/>
    <w:rsid w:val="00910F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F61"/>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910F61"/>
    <w:rPr>
      <w:b/>
      <w:bCs/>
    </w:rPr>
  </w:style>
  <w:style w:type="character" w:customStyle="1" w:styleId="SoggettocommentoCarattere">
    <w:name w:val="Soggetto commento Carattere"/>
    <w:basedOn w:val="TestocommentoCarattere"/>
    <w:link w:val="Soggettocommento"/>
    <w:uiPriority w:val="99"/>
    <w:semiHidden/>
    <w:rsid w:val="00910F61"/>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910F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0F61"/>
    <w:rPr>
      <w:rFonts w:ascii="Segoe UI" w:hAnsi="Segoe UI" w:cs="Segoe UI"/>
      <w:sz w:val="18"/>
      <w:szCs w:val="18"/>
    </w:rPr>
  </w:style>
  <w:style w:type="paragraph" w:styleId="Didascalia">
    <w:name w:val="caption"/>
    <w:basedOn w:val="Normale"/>
    <w:next w:val="Normale"/>
    <w:uiPriority w:val="35"/>
    <w:unhideWhenUsed/>
    <w:qFormat/>
    <w:rsid w:val="00071EC3"/>
    <w:pPr>
      <w:spacing w:after="200" w:line="240" w:lineRule="auto"/>
    </w:pPr>
    <w:rPr>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16/09/relationships/commentsIds" Target="commentsIds.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1511</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Gaias</dc:creator>
  <cp:keywords/>
  <dc:description/>
  <cp:lastModifiedBy>Gaias</cp:lastModifiedBy>
  <cp:revision>5</cp:revision>
  <dcterms:created xsi:type="dcterms:W3CDTF">2019-02-27T11:42:00Z</dcterms:created>
  <dcterms:modified xsi:type="dcterms:W3CDTF">2019-03-27T14:01:00Z</dcterms:modified>
</cp:coreProperties>
</file>