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25" w:rsidRDefault="00F05CDD">
      <w:pPr>
        <w:rPr>
          <w:lang w:val="en-GB"/>
        </w:rPr>
      </w:pPr>
      <w:r w:rsidRPr="00F05CDD">
        <w:rPr>
          <w:lang w:val="en-GB"/>
        </w:rPr>
        <w:t>Supplementary material S2</w:t>
      </w:r>
      <w:r w:rsidR="00E7772F">
        <w:rPr>
          <w:lang w:val="en-GB"/>
        </w:rPr>
        <w:t xml:space="preserve">. </w:t>
      </w:r>
      <w:r w:rsidRPr="00F05CDD">
        <w:rPr>
          <w:lang w:val="en-GB"/>
        </w:rPr>
        <w:t xml:space="preserve">X-ray diffraction patterns of the </w:t>
      </w:r>
      <w:proofErr w:type="spellStart"/>
      <w:r w:rsidRPr="00F05CDD">
        <w:rPr>
          <w:lang w:val="en-GB"/>
        </w:rPr>
        <w:t>sil</w:t>
      </w:r>
      <w:r w:rsidR="00E7772F">
        <w:rPr>
          <w:lang w:val="en-GB"/>
        </w:rPr>
        <w:t>t</w:t>
      </w:r>
      <w:r w:rsidRPr="00F05CDD">
        <w:rPr>
          <w:lang w:val="en-GB"/>
        </w:rPr>
        <w:t>+clay</w:t>
      </w:r>
      <w:proofErr w:type="spellEnd"/>
      <w:r w:rsidRPr="00F05CDD">
        <w:rPr>
          <w:lang w:val="en-GB"/>
        </w:rPr>
        <w:t xml:space="preserve"> fraction</w:t>
      </w:r>
      <w:r w:rsidR="00E7772F">
        <w:rPr>
          <w:lang w:val="en-GB"/>
        </w:rPr>
        <w:t>s</w:t>
      </w:r>
      <w:r w:rsidRPr="00F05CDD">
        <w:rPr>
          <w:lang w:val="en-GB"/>
        </w:rPr>
        <w:t xml:space="preserve"> from sample 2</w:t>
      </w:r>
      <w:r w:rsidR="00E7772F">
        <w:rPr>
          <w:lang w:val="en-GB"/>
        </w:rPr>
        <w:t>, which r</w:t>
      </w:r>
      <w:r w:rsidR="008808FF">
        <w:rPr>
          <w:lang w:val="en-GB"/>
        </w:rPr>
        <w:t>epresent</w:t>
      </w:r>
      <w:r w:rsidR="00E7772F">
        <w:rPr>
          <w:lang w:val="en-GB"/>
        </w:rPr>
        <w:t>s</w:t>
      </w:r>
      <w:r w:rsidR="008808FF">
        <w:rPr>
          <w:lang w:val="en-GB"/>
        </w:rPr>
        <w:t xml:space="preserve"> </w:t>
      </w:r>
      <w:r w:rsidR="00E7772F">
        <w:rPr>
          <w:lang w:val="en-GB"/>
        </w:rPr>
        <w:t xml:space="preserve">a </w:t>
      </w:r>
      <w:r w:rsidR="008808FF">
        <w:rPr>
          <w:lang w:val="en-GB"/>
        </w:rPr>
        <w:t>sample from Group 1</w:t>
      </w:r>
      <w:r w:rsidR="00E7772F">
        <w:rPr>
          <w:lang w:val="en-GB"/>
        </w:rPr>
        <w:t xml:space="preserve"> </w:t>
      </w:r>
      <w:r w:rsidRPr="00F05CDD">
        <w:rPr>
          <w:lang w:val="en-GB"/>
        </w:rPr>
        <w:t>and sample 8</w:t>
      </w:r>
      <w:r w:rsidR="00E7772F">
        <w:rPr>
          <w:lang w:val="en-GB"/>
        </w:rPr>
        <w:t xml:space="preserve">, which is </w:t>
      </w:r>
      <w:r w:rsidRPr="00F05CDD">
        <w:rPr>
          <w:lang w:val="en-GB"/>
        </w:rPr>
        <w:t>rep</w:t>
      </w:r>
      <w:r>
        <w:rPr>
          <w:lang w:val="en-GB"/>
        </w:rPr>
        <w:t xml:space="preserve">resentative </w:t>
      </w:r>
      <w:r w:rsidR="00E7772F">
        <w:rPr>
          <w:lang w:val="en-GB"/>
        </w:rPr>
        <w:t xml:space="preserve">of a </w:t>
      </w:r>
      <w:r>
        <w:rPr>
          <w:lang w:val="en-GB"/>
        </w:rPr>
        <w:t>sample from Group 3.</w:t>
      </w:r>
    </w:p>
    <w:p w:rsidR="004E0D72" w:rsidRDefault="004E0D72" w:rsidP="004E0D7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i/>
          <w:sz w:val="20"/>
          <w:szCs w:val="20"/>
          <w:lang w:val="en-GB"/>
        </w:rPr>
      </w:pPr>
      <w:r>
        <w:rPr>
          <w:rFonts w:ascii="Times New Roman" w:hAnsi="Times New Roman"/>
          <w:i/>
          <w:noProof/>
          <w:sz w:val="20"/>
          <w:szCs w:val="20"/>
          <w:lang w:eastAsia="pt-BR"/>
        </w:rPr>
        <w:drawing>
          <wp:inline distT="0" distB="0" distL="0" distR="0">
            <wp:extent cx="6053455" cy="29730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297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0D72" w:rsidRPr="004E0D72" w:rsidRDefault="004E0D72" w:rsidP="004E0D72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GB"/>
        </w:rPr>
      </w:pPr>
      <w:r w:rsidRPr="004E0D72">
        <w:rPr>
          <w:rFonts w:cs="Arial"/>
          <w:sz w:val="20"/>
          <w:szCs w:val="20"/>
          <w:lang w:val="en-GB"/>
        </w:rPr>
        <w:t xml:space="preserve">Note: </w:t>
      </w:r>
      <w:proofErr w:type="spellStart"/>
      <w:r w:rsidRPr="004E0D72">
        <w:rPr>
          <w:rFonts w:cs="Arial"/>
          <w:sz w:val="20"/>
          <w:szCs w:val="20"/>
          <w:lang w:val="en-GB"/>
        </w:rPr>
        <w:t>Ka</w:t>
      </w:r>
      <w:proofErr w:type="spellEnd"/>
      <w:r w:rsidRPr="004E0D72">
        <w:rPr>
          <w:rFonts w:cs="Arial"/>
          <w:sz w:val="20"/>
          <w:szCs w:val="20"/>
          <w:lang w:val="en-GB"/>
        </w:rPr>
        <w:t xml:space="preserve"> – Kaolinite; </w:t>
      </w:r>
      <w:proofErr w:type="gramStart"/>
      <w:r w:rsidRPr="004E0D72">
        <w:rPr>
          <w:rFonts w:cs="Arial"/>
          <w:sz w:val="20"/>
          <w:szCs w:val="20"/>
          <w:lang w:val="en-GB"/>
        </w:rPr>
        <w:t>Gb</w:t>
      </w:r>
      <w:proofErr w:type="gramEnd"/>
      <w:r w:rsidRPr="004E0D72">
        <w:rPr>
          <w:rFonts w:cs="Arial"/>
          <w:sz w:val="20"/>
          <w:szCs w:val="20"/>
          <w:lang w:val="en-GB"/>
        </w:rPr>
        <w:t xml:space="preserve"> – Gibbsite; </w:t>
      </w:r>
      <w:proofErr w:type="spellStart"/>
      <w:r w:rsidRPr="004E0D72">
        <w:rPr>
          <w:rFonts w:cs="Arial"/>
          <w:sz w:val="20"/>
          <w:szCs w:val="20"/>
          <w:lang w:val="en-GB"/>
        </w:rPr>
        <w:t>Qz</w:t>
      </w:r>
      <w:proofErr w:type="spellEnd"/>
      <w:r w:rsidRPr="004E0D72">
        <w:rPr>
          <w:rFonts w:cs="Arial"/>
          <w:sz w:val="20"/>
          <w:szCs w:val="20"/>
          <w:lang w:val="en-GB"/>
        </w:rPr>
        <w:t xml:space="preserve"> – Quartz; </w:t>
      </w:r>
      <w:proofErr w:type="spellStart"/>
      <w:r w:rsidRPr="004E0D72">
        <w:rPr>
          <w:rFonts w:cs="Arial"/>
          <w:sz w:val="20"/>
          <w:szCs w:val="20"/>
          <w:lang w:val="en-GB"/>
        </w:rPr>
        <w:t>Hm</w:t>
      </w:r>
      <w:proofErr w:type="spellEnd"/>
      <w:r w:rsidRPr="004E0D72">
        <w:rPr>
          <w:rFonts w:cs="Arial"/>
          <w:sz w:val="20"/>
          <w:szCs w:val="20"/>
          <w:lang w:val="en-GB"/>
        </w:rPr>
        <w:t xml:space="preserve"> – Hematite. The interlayer distances</w:t>
      </w:r>
      <w:r>
        <w:rPr>
          <w:rFonts w:cs="Arial"/>
          <w:sz w:val="20"/>
          <w:szCs w:val="20"/>
          <w:lang w:val="en-GB"/>
        </w:rPr>
        <w:t xml:space="preserve"> in n</w:t>
      </w:r>
      <w:r w:rsidRPr="004E0D72">
        <w:rPr>
          <w:rFonts w:cs="Arial"/>
          <w:sz w:val="20"/>
          <w:szCs w:val="20"/>
          <w:lang w:val="en-GB"/>
        </w:rPr>
        <w:t>anometres (nm) are presented in parenthesis</w:t>
      </w:r>
    </w:p>
    <w:p w:rsidR="004E0D72" w:rsidRPr="001A5C39" w:rsidRDefault="004E0D72" w:rsidP="004E0D72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Times New Roman" w:hAnsi="Times New Roman"/>
          <w:i/>
          <w:sz w:val="20"/>
          <w:szCs w:val="20"/>
          <w:lang w:val="en-GB"/>
        </w:rPr>
      </w:pPr>
      <w:bookmarkStart w:id="0" w:name="_GoBack"/>
      <w:bookmarkEnd w:id="0"/>
    </w:p>
    <w:p w:rsidR="004E0D72" w:rsidRPr="00F05CDD" w:rsidRDefault="004E0D72">
      <w:pPr>
        <w:rPr>
          <w:lang w:val="en-GB"/>
        </w:rPr>
      </w:pPr>
    </w:p>
    <w:sectPr w:rsidR="004E0D72" w:rsidRPr="00F05CDD" w:rsidSect="004E0D72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5C2"/>
    <w:multiLevelType w:val="hybridMultilevel"/>
    <w:tmpl w:val="33104C64"/>
    <w:lvl w:ilvl="0" w:tplc="2006CD04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tzpatrick, Rob (L&amp;W, Waite Campus)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62"/>
    <w:rsid w:val="00012525"/>
    <w:rsid w:val="000B5391"/>
    <w:rsid w:val="004E0D72"/>
    <w:rsid w:val="008808FF"/>
    <w:rsid w:val="00CB1BD7"/>
    <w:rsid w:val="00DC0B62"/>
    <w:rsid w:val="00E7772F"/>
    <w:rsid w:val="00F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91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91"/>
    <w:pPr>
      <w:keepNext/>
      <w:keepLines/>
      <w:spacing w:after="0"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ABNT">
    <w:name w:val="ParágrafoABNT_"/>
    <w:basedOn w:val="Normal"/>
    <w:autoRedefine/>
    <w:rsid w:val="00CB1BD7"/>
    <w:pPr>
      <w:ind w:firstLine="709"/>
    </w:pPr>
    <w:rPr>
      <w:rFonts w:cs="Arial"/>
      <w:szCs w:val="24"/>
    </w:rPr>
  </w:style>
  <w:style w:type="paragraph" w:customStyle="1" w:styleId="CitaoABNT">
    <w:name w:val="Citação ABNT"/>
    <w:basedOn w:val="PargrafoABNT"/>
    <w:next w:val="PargrafoABNT"/>
    <w:autoRedefine/>
    <w:rsid w:val="00CB1BD7"/>
    <w:pPr>
      <w:spacing w:line="240" w:lineRule="auto"/>
      <w:ind w:left="2268" w:firstLine="0"/>
    </w:pPr>
    <w:rPr>
      <w:sz w:val="20"/>
    </w:rPr>
  </w:style>
  <w:style w:type="paragraph" w:customStyle="1" w:styleId="RefernciasABNT">
    <w:name w:val="Referências ABNT"/>
    <w:autoRedefine/>
    <w:rsid w:val="00CB1BD7"/>
    <w:pPr>
      <w:spacing w:after="240"/>
    </w:pPr>
    <w:rPr>
      <w:rFonts w:ascii="Arial" w:hAnsi="Arial" w:cs="Arial"/>
      <w:sz w:val="24"/>
      <w:szCs w:val="24"/>
    </w:rPr>
  </w:style>
  <w:style w:type="paragraph" w:customStyle="1" w:styleId="SUMARIO">
    <w:name w:val="SUMARIO_"/>
    <w:basedOn w:val="TOC1"/>
    <w:autoRedefine/>
    <w:rsid w:val="00CB1BD7"/>
    <w:pPr>
      <w:tabs>
        <w:tab w:val="left" w:pos="0"/>
        <w:tab w:val="left" w:pos="440"/>
        <w:tab w:val="right" w:leader="dot" w:pos="9062"/>
      </w:tabs>
      <w:spacing w:before="120" w:after="120"/>
    </w:pPr>
    <w:rPr>
      <w:rFonts w:cs="Arial"/>
      <w:b/>
      <w:noProof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1BD7"/>
    <w:pPr>
      <w:spacing w:after="100"/>
    </w:pPr>
  </w:style>
  <w:style w:type="paragraph" w:customStyle="1" w:styleId="Alineas">
    <w:name w:val="Alineas_"/>
    <w:basedOn w:val="PargrafoABNT"/>
    <w:autoRedefine/>
    <w:rsid w:val="00CB1BD7"/>
    <w:pPr>
      <w:ind w:firstLine="0"/>
      <w:jc w:val="center"/>
    </w:pPr>
    <w:rPr>
      <w:b/>
    </w:rPr>
  </w:style>
  <w:style w:type="paragraph" w:customStyle="1" w:styleId="Pargrafo">
    <w:name w:val="Parágrafo"/>
    <w:basedOn w:val="Normal"/>
    <w:autoRedefine/>
    <w:rsid w:val="00CB1BD7"/>
    <w:pPr>
      <w:widowControl w:val="0"/>
      <w:tabs>
        <w:tab w:val="left" w:pos="1701"/>
      </w:tabs>
      <w:ind w:firstLine="709"/>
    </w:pPr>
    <w:rPr>
      <w:rFonts w:cs="Arial"/>
      <w:snapToGrid w:val="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BD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B53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539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B5391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B5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3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3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5391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391"/>
    <w:rPr>
      <w:rFonts w:ascii="Arial" w:hAnsi="Arial"/>
      <w:b/>
      <w:bCs/>
      <w:i/>
      <w:i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91"/>
    <w:pPr>
      <w:spacing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91"/>
    <w:pPr>
      <w:keepNext/>
      <w:keepLines/>
      <w:spacing w:after="0"/>
      <w:jc w:val="left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grafoABNT">
    <w:name w:val="ParágrafoABNT_"/>
    <w:basedOn w:val="Normal"/>
    <w:autoRedefine/>
    <w:rsid w:val="00CB1BD7"/>
    <w:pPr>
      <w:ind w:firstLine="709"/>
    </w:pPr>
    <w:rPr>
      <w:rFonts w:cs="Arial"/>
      <w:szCs w:val="24"/>
    </w:rPr>
  </w:style>
  <w:style w:type="paragraph" w:customStyle="1" w:styleId="CitaoABNT">
    <w:name w:val="Citação ABNT"/>
    <w:basedOn w:val="PargrafoABNT"/>
    <w:next w:val="PargrafoABNT"/>
    <w:autoRedefine/>
    <w:rsid w:val="00CB1BD7"/>
    <w:pPr>
      <w:spacing w:line="240" w:lineRule="auto"/>
      <w:ind w:left="2268" w:firstLine="0"/>
    </w:pPr>
    <w:rPr>
      <w:sz w:val="20"/>
    </w:rPr>
  </w:style>
  <w:style w:type="paragraph" w:customStyle="1" w:styleId="RefernciasABNT">
    <w:name w:val="Referências ABNT"/>
    <w:autoRedefine/>
    <w:rsid w:val="00CB1BD7"/>
    <w:pPr>
      <w:spacing w:after="240"/>
    </w:pPr>
    <w:rPr>
      <w:rFonts w:ascii="Arial" w:hAnsi="Arial" w:cs="Arial"/>
      <w:sz w:val="24"/>
      <w:szCs w:val="24"/>
    </w:rPr>
  </w:style>
  <w:style w:type="paragraph" w:customStyle="1" w:styleId="SUMARIO">
    <w:name w:val="SUMARIO_"/>
    <w:basedOn w:val="TOC1"/>
    <w:autoRedefine/>
    <w:rsid w:val="00CB1BD7"/>
    <w:pPr>
      <w:tabs>
        <w:tab w:val="left" w:pos="0"/>
        <w:tab w:val="left" w:pos="440"/>
        <w:tab w:val="right" w:leader="dot" w:pos="9062"/>
      </w:tabs>
      <w:spacing w:before="120" w:after="120"/>
    </w:pPr>
    <w:rPr>
      <w:rFonts w:cs="Arial"/>
      <w:b/>
      <w:noProof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1BD7"/>
    <w:pPr>
      <w:spacing w:after="100"/>
    </w:pPr>
  </w:style>
  <w:style w:type="paragraph" w:customStyle="1" w:styleId="Alineas">
    <w:name w:val="Alineas_"/>
    <w:basedOn w:val="PargrafoABNT"/>
    <w:autoRedefine/>
    <w:rsid w:val="00CB1BD7"/>
    <w:pPr>
      <w:ind w:firstLine="0"/>
      <w:jc w:val="center"/>
    </w:pPr>
    <w:rPr>
      <w:b/>
    </w:rPr>
  </w:style>
  <w:style w:type="paragraph" w:customStyle="1" w:styleId="Pargrafo">
    <w:name w:val="Parágrafo"/>
    <w:basedOn w:val="Normal"/>
    <w:autoRedefine/>
    <w:rsid w:val="00CB1BD7"/>
    <w:pPr>
      <w:widowControl w:val="0"/>
      <w:tabs>
        <w:tab w:val="left" w:pos="1701"/>
      </w:tabs>
      <w:ind w:firstLine="709"/>
    </w:pPr>
    <w:rPr>
      <w:rFonts w:cs="Arial"/>
      <w:snapToGrid w:val="0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BD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0B539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539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B5391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0B5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3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B53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3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5391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3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391"/>
    <w:rPr>
      <w:rFonts w:ascii="Arial" w:hAnsi="Arial"/>
      <w:b/>
      <w:bCs/>
      <w:i/>
      <w:iCs/>
      <w:color w:val="4F81BD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Samara</cp:lastModifiedBy>
  <cp:revision>5</cp:revision>
  <dcterms:created xsi:type="dcterms:W3CDTF">2019-06-05T01:21:00Z</dcterms:created>
  <dcterms:modified xsi:type="dcterms:W3CDTF">2019-06-12T12:57:00Z</dcterms:modified>
</cp:coreProperties>
</file>