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A78A8" w14:textId="0998320D" w:rsidR="00A96285" w:rsidRDefault="00A96285" w:rsidP="006E6431">
      <w:pPr>
        <w:rPr>
          <w:rFonts w:ascii="Arial" w:hAnsi="Arial" w:cs="Arial"/>
          <w:b/>
          <w:sz w:val="24"/>
        </w:rPr>
      </w:pPr>
      <w:r>
        <w:rPr>
          <w:rFonts w:ascii="Arial" w:hAnsi="Arial" w:cs="Arial"/>
          <w:b/>
          <w:sz w:val="24"/>
        </w:rPr>
        <w:t>Appendix A: Methods</w:t>
      </w:r>
    </w:p>
    <w:p w14:paraId="79FDDAFE" w14:textId="77777777" w:rsidR="00A96285" w:rsidRPr="00DD54FD" w:rsidRDefault="00A96285" w:rsidP="00A96285">
      <w:pPr>
        <w:spacing w:line="276" w:lineRule="auto"/>
        <w:rPr>
          <w:rFonts w:ascii="Arial" w:hAnsi="Arial" w:cs="Arial"/>
          <w:b/>
          <w:i/>
          <w:sz w:val="24"/>
          <w:lang w:val="en-AU"/>
        </w:rPr>
      </w:pPr>
      <w:r w:rsidRPr="00DD54FD">
        <w:rPr>
          <w:rFonts w:ascii="Arial" w:hAnsi="Arial" w:cs="Arial"/>
          <w:b/>
          <w:i/>
          <w:sz w:val="24"/>
          <w:lang w:val="en-AU"/>
        </w:rPr>
        <w:t>Zircon U–Pb geochronology</w:t>
      </w:r>
    </w:p>
    <w:p w14:paraId="1AC7452D" w14:textId="19375697" w:rsidR="00A96285" w:rsidRPr="00DD54FD" w:rsidRDefault="00A96285" w:rsidP="00A96285">
      <w:pPr>
        <w:spacing w:line="276" w:lineRule="auto"/>
        <w:rPr>
          <w:rFonts w:ascii="Arial" w:hAnsi="Arial" w:cs="Arial"/>
          <w:sz w:val="24"/>
          <w:lang w:val="en-AU"/>
        </w:rPr>
      </w:pPr>
      <w:r w:rsidRPr="00DD54FD">
        <w:rPr>
          <w:rFonts w:ascii="Arial" w:hAnsi="Arial" w:cs="Arial"/>
          <w:sz w:val="24"/>
          <w:lang w:val="en-AU"/>
        </w:rPr>
        <w:t>LA–ICP–MS zircon geochronology was done on epoxy resin-mounted zircon grains from sample 53810. Zircons were extracted from crushed rock by a combination of panning, magnetic and heavy liquid separation, then heat treated at 900 °C for 48 hours.</w:t>
      </w:r>
      <w:r w:rsidR="009A098D">
        <w:rPr>
          <w:rFonts w:ascii="Arial" w:hAnsi="Arial" w:cs="Arial"/>
          <w:sz w:val="24"/>
          <w:lang w:val="en-AU"/>
        </w:rPr>
        <w:t xml:space="preserve"> Thermal annealing of zircon grains was done to improve cathodoluminescence (CL) response and to produce more accurate U–Pb ages (</w:t>
      </w:r>
      <w:proofErr w:type="spellStart"/>
      <w:r w:rsidR="009A098D">
        <w:rPr>
          <w:rFonts w:ascii="Arial" w:hAnsi="Arial" w:cs="Arial"/>
          <w:sz w:val="24"/>
          <w:lang w:val="en-AU"/>
        </w:rPr>
        <w:t>Nasdala</w:t>
      </w:r>
      <w:proofErr w:type="spellEnd"/>
      <w:r w:rsidR="009A098D">
        <w:rPr>
          <w:rFonts w:ascii="Arial" w:hAnsi="Arial" w:cs="Arial"/>
          <w:sz w:val="24"/>
          <w:lang w:val="en-AU"/>
        </w:rPr>
        <w:t xml:space="preserve"> et al. 2002; </w:t>
      </w:r>
      <w:proofErr w:type="spellStart"/>
      <w:r w:rsidR="009A098D">
        <w:rPr>
          <w:rFonts w:ascii="Arial" w:hAnsi="Arial" w:cs="Arial"/>
          <w:sz w:val="24"/>
          <w:lang w:val="en-AU"/>
        </w:rPr>
        <w:t>Solari</w:t>
      </w:r>
      <w:proofErr w:type="spellEnd"/>
      <w:r w:rsidR="009A098D">
        <w:rPr>
          <w:rFonts w:ascii="Arial" w:hAnsi="Arial" w:cs="Arial"/>
          <w:sz w:val="24"/>
          <w:lang w:val="en-AU"/>
        </w:rPr>
        <w:t xml:space="preserve"> et al. 2015).</w:t>
      </w:r>
      <w:r w:rsidRPr="00DD54FD">
        <w:rPr>
          <w:rFonts w:ascii="Arial" w:hAnsi="Arial" w:cs="Arial"/>
          <w:sz w:val="24"/>
          <w:lang w:val="en-AU"/>
        </w:rPr>
        <w:t xml:space="preserve"> Mounted grains were imaged using a </w:t>
      </w:r>
      <w:proofErr w:type="spellStart"/>
      <w:r w:rsidRPr="00DD54FD">
        <w:rPr>
          <w:rFonts w:ascii="Arial" w:hAnsi="Arial" w:cs="Arial"/>
          <w:sz w:val="24"/>
          <w:lang w:val="en-AU"/>
        </w:rPr>
        <w:t>Gatan</w:t>
      </w:r>
      <w:proofErr w:type="spellEnd"/>
      <w:r w:rsidRPr="00DD54FD">
        <w:rPr>
          <w:rFonts w:ascii="Arial" w:hAnsi="Arial" w:cs="Arial"/>
          <w:sz w:val="24"/>
          <w:lang w:val="en-AU"/>
        </w:rPr>
        <w:t xml:space="preserve"> </w:t>
      </w:r>
      <w:r w:rsidR="009A098D">
        <w:rPr>
          <w:rFonts w:ascii="Arial" w:hAnsi="Arial" w:cs="Arial"/>
          <w:sz w:val="24"/>
          <w:lang w:val="en-AU"/>
        </w:rPr>
        <w:t>CL</w:t>
      </w:r>
      <w:r w:rsidRPr="00DD54FD">
        <w:rPr>
          <w:rFonts w:ascii="Arial" w:hAnsi="Arial" w:cs="Arial"/>
          <w:sz w:val="24"/>
          <w:lang w:val="en-AU"/>
        </w:rPr>
        <w:t xml:space="preserve"> detector attached to a FEI Quanta 600 SEM at Adelaide Microscopy</w:t>
      </w:r>
      <w:r>
        <w:rPr>
          <w:rFonts w:ascii="Arial" w:hAnsi="Arial" w:cs="Arial"/>
          <w:sz w:val="24"/>
          <w:lang w:val="en-AU"/>
        </w:rPr>
        <w:t>, University of Adelaide</w:t>
      </w:r>
      <w:r w:rsidRPr="00DD54FD">
        <w:rPr>
          <w:rFonts w:ascii="Arial" w:hAnsi="Arial" w:cs="Arial"/>
          <w:sz w:val="24"/>
          <w:lang w:val="en-AU"/>
        </w:rPr>
        <w:t>.</w:t>
      </w:r>
    </w:p>
    <w:p w14:paraId="69B58F69" w14:textId="77777777" w:rsidR="00A96285" w:rsidRPr="00DD54FD" w:rsidRDefault="00A96285" w:rsidP="00A96285">
      <w:pPr>
        <w:spacing w:line="276" w:lineRule="auto"/>
        <w:rPr>
          <w:rFonts w:ascii="Arial" w:hAnsi="Arial" w:cs="Arial"/>
          <w:sz w:val="24"/>
          <w:lang w:val="en-AU"/>
        </w:rPr>
      </w:pPr>
      <w:r w:rsidRPr="00DD54FD">
        <w:rPr>
          <w:rFonts w:ascii="Arial" w:hAnsi="Arial" w:cs="Arial"/>
          <w:sz w:val="24"/>
          <w:lang w:val="en-AU"/>
        </w:rPr>
        <w:t xml:space="preserve">Zircon U–Pb data was collected at Adelaide Microscopy using a </w:t>
      </w:r>
      <w:proofErr w:type="spellStart"/>
      <w:r w:rsidRPr="00DD54FD">
        <w:rPr>
          <w:rFonts w:ascii="Arial" w:hAnsi="Arial" w:cs="Arial"/>
          <w:sz w:val="24"/>
          <w:lang w:val="en-AU"/>
        </w:rPr>
        <w:t>RESOlution</w:t>
      </w:r>
      <w:proofErr w:type="spellEnd"/>
      <w:r w:rsidRPr="00DD54FD">
        <w:rPr>
          <w:rFonts w:ascii="Arial" w:hAnsi="Arial" w:cs="Arial"/>
          <w:sz w:val="24"/>
          <w:lang w:val="en-AU"/>
        </w:rPr>
        <w:t xml:space="preserve"> LR 193 nm Excimer laser in a He ablation atmosphere, coupled to an Agilent 7700s ICP–MS for isotopic characterisation. Ablation was performed with a frequency of 5 Hz and spot sizes of both 19 and 29 μm, based on grain size. Data acquisition included 30 seconds of background measurement and 30 seconds of</w:t>
      </w:r>
      <w:r>
        <w:rPr>
          <w:rFonts w:ascii="Arial" w:hAnsi="Arial" w:cs="Arial"/>
          <w:sz w:val="24"/>
          <w:lang w:val="en-AU"/>
        </w:rPr>
        <w:t xml:space="preserve"> sample</w:t>
      </w:r>
      <w:r w:rsidRPr="00DD54FD">
        <w:rPr>
          <w:rFonts w:ascii="Arial" w:hAnsi="Arial" w:cs="Arial"/>
          <w:sz w:val="24"/>
          <w:lang w:val="en-AU"/>
        </w:rPr>
        <w:t xml:space="preserve"> ablation.</w:t>
      </w:r>
    </w:p>
    <w:p w14:paraId="754B9498" w14:textId="0D021788" w:rsidR="00A96285" w:rsidRPr="00DD54FD" w:rsidRDefault="00A96285" w:rsidP="00A96285">
      <w:pPr>
        <w:spacing w:line="276" w:lineRule="auto"/>
        <w:rPr>
          <w:rFonts w:ascii="Arial" w:hAnsi="Arial" w:cs="Arial"/>
          <w:sz w:val="24"/>
          <w:lang w:val="en-AU"/>
        </w:rPr>
      </w:pPr>
      <w:r w:rsidRPr="00DD54FD">
        <w:rPr>
          <w:rFonts w:ascii="Arial" w:hAnsi="Arial" w:cs="Arial"/>
          <w:sz w:val="24"/>
          <w:lang w:val="en-AU"/>
        </w:rPr>
        <w:t xml:space="preserve">Zircon isotopic data was reduced using Iolite software </w:t>
      </w:r>
      <w:r w:rsidRPr="00DD54FD">
        <w:rPr>
          <w:rFonts w:ascii="Arial" w:hAnsi="Arial" w:cs="Arial"/>
          <w:noProof/>
          <w:sz w:val="24"/>
          <w:lang w:val="en-AU"/>
        </w:rPr>
        <w:t>(Paton et al. 2011)</w:t>
      </w:r>
      <w:r w:rsidRPr="00DD54FD">
        <w:rPr>
          <w:rFonts w:ascii="Arial" w:hAnsi="Arial" w:cs="Arial"/>
          <w:sz w:val="24"/>
          <w:lang w:val="en-AU"/>
        </w:rPr>
        <w:t>. Elemental fractionation and mass bias w</w:t>
      </w:r>
      <w:r w:rsidR="008E388D">
        <w:rPr>
          <w:rFonts w:ascii="Arial" w:hAnsi="Arial" w:cs="Arial"/>
          <w:sz w:val="24"/>
          <w:lang w:val="en-AU"/>
        </w:rPr>
        <w:t>ere</w:t>
      </w:r>
      <w:r w:rsidRPr="00DD54FD">
        <w:rPr>
          <w:rFonts w:ascii="Arial" w:hAnsi="Arial" w:cs="Arial"/>
          <w:sz w:val="24"/>
          <w:lang w:val="en-AU"/>
        </w:rPr>
        <w:t xml:space="preserve"> corrected using </w:t>
      </w:r>
      <w:r w:rsidR="00D26A43">
        <w:rPr>
          <w:rFonts w:ascii="Arial" w:hAnsi="Arial" w:cs="Arial"/>
          <w:sz w:val="24"/>
          <w:lang w:val="en-AU"/>
        </w:rPr>
        <w:t xml:space="preserve">the primary zircon standard GJ </w:t>
      </w:r>
      <w:r w:rsidRPr="00DD54FD">
        <w:rPr>
          <w:rFonts w:ascii="Arial" w:hAnsi="Arial" w:cs="Arial"/>
          <w:noProof/>
          <w:sz w:val="24"/>
          <w:lang w:val="en-AU"/>
        </w:rPr>
        <w:t xml:space="preserve">(TIMS data: </w:t>
      </w:r>
      <w:r w:rsidRPr="00DD54FD">
        <w:rPr>
          <w:rFonts w:ascii="Arial" w:hAnsi="Arial" w:cs="Arial"/>
          <w:noProof/>
          <w:sz w:val="24"/>
          <w:vertAlign w:val="superscript"/>
          <w:lang w:val="en-AU"/>
        </w:rPr>
        <w:t>207</w:t>
      </w:r>
      <w:r w:rsidRPr="00DD54FD">
        <w:rPr>
          <w:rFonts w:ascii="Arial" w:hAnsi="Arial" w:cs="Arial"/>
          <w:noProof/>
          <w:sz w:val="24"/>
          <w:lang w:val="en-AU"/>
        </w:rPr>
        <w:t>Pb/</w:t>
      </w:r>
      <w:r w:rsidRPr="00DD54FD">
        <w:rPr>
          <w:rFonts w:ascii="Arial" w:hAnsi="Arial" w:cs="Arial"/>
          <w:noProof/>
          <w:sz w:val="24"/>
          <w:vertAlign w:val="superscript"/>
          <w:lang w:val="en-AU"/>
        </w:rPr>
        <w:t>206</w:t>
      </w:r>
      <w:r w:rsidRPr="00DD54FD">
        <w:rPr>
          <w:rFonts w:ascii="Arial" w:hAnsi="Arial" w:cs="Arial"/>
          <w:noProof/>
          <w:sz w:val="24"/>
          <w:lang w:val="en-AU"/>
        </w:rPr>
        <w:t xml:space="preserve">Pb = 607.7 ± 4.3 Ma, </w:t>
      </w:r>
      <w:r w:rsidRPr="00DD54FD">
        <w:rPr>
          <w:rFonts w:ascii="Arial" w:hAnsi="Arial" w:cs="Arial"/>
          <w:noProof/>
          <w:sz w:val="24"/>
          <w:vertAlign w:val="superscript"/>
          <w:lang w:val="en-AU"/>
        </w:rPr>
        <w:t>206</w:t>
      </w:r>
      <w:r w:rsidRPr="00DD54FD">
        <w:rPr>
          <w:rFonts w:ascii="Arial" w:hAnsi="Arial" w:cs="Arial"/>
          <w:noProof/>
          <w:sz w:val="24"/>
          <w:lang w:val="en-AU"/>
        </w:rPr>
        <w:t>Pb/</w:t>
      </w:r>
      <w:r w:rsidRPr="00DD54FD">
        <w:rPr>
          <w:rFonts w:ascii="Arial" w:hAnsi="Arial" w:cs="Arial"/>
          <w:noProof/>
          <w:sz w:val="24"/>
          <w:vertAlign w:val="superscript"/>
          <w:lang w:val="en-AU"/>
        </w:rPr>
        <w:t>238</w:t>
      </w:r>
      <w:r w:rsidRPr="00DD54FD">
        <w:rPr>
          <w:rFonts w:ascii="Arial" w:hAnsi="Arial" w:cs="Arial"/>
          <w:noProof/>
          <w:sz w:val="24"/>
          <w:lang w:val="en-AU"/>
        </w:rPr>
        <w:t xml:space="preserve">U = 600.7 ± 1.1 Ma and </w:t>
      </w:r>
      <w:r w:rsidRPr="00DD54FD">
        <w:rPr>
          <w:rFonts w:ascii="Arial" w:hAnsi="Arial" w:cs="Arial"/>
          <w:noProof/>
          <w:sz w:val="24"/>
          <w:vertAlign w:val="superscript"/>
          <w:lang w:val="en-AU"/>
        </w:rPr>
        <w:t>207</w:t>
      </w:r>
      <w:r w:rsidRPr="00DD54FD">
        <w:rPr>
          <w:rFonts w:ascii="Arial" w:hAnsi="Arial" w:cs="Arial"/>
          <w:noProof/>
          <w:sz w:val="24"/>
          <w:lang w:val="en-AU"/>
        </w:rPr>
        <w:t>Pb/</w:t>
      </w:r>
      <w:r w:rsidRPr="00DD54FD">
        <w:rPr>
          <w:rFonts w:ascii="Arial" w:hAnsi="Arial" w:cs="Arial"/>
          <w:noProof/>
          <w:sz w:val="24"/>
          <w:vertAlign w:val="superscript"/>
          <w:lang w:val="en-AU"/>
        </w:rPr>
        <w:t>235</w:t>
      </w:r>
      <w:r w:rsidRPr="00DD54FD">
        <w:rPr>
          <w:rFonts w:ascii="Arial" w:hAnsi="Arial" w:cs="Arial"/>
          <w:noProof/>
          <w:sz w:val="24"/>
          <w:lang w:val="en-AU"/>
        </w:rPr>
        <w:t>U = 602.0 ± 1.0</w:t>
      </w:r>
      <w:r w:rsidR="008E388D">
        <w:rPr>
          <w:rFonts w:ascii="Arial" w:hAnsi="Arial" w:cs="Arial"/>
          <w:noProof/>
          <w:sz w:val="24"/>
          <w:lang w:val="en-AU"/>
        </w:rPr>
        <w:t xml:space="preserve"> Ma</w:t>
      </w:r>
      <w:r w:rsidRPr="00DD54FD">
        <w:rPr>
          <w:rFonts w:ascii="Arial" w:hAnsi="Arial" w:cs="Arial"/>
          <w:noProof/>
          <w:sz w:val="24"/>
          <w:lang w:val="en-AU"/>
        </w:rPr>
        <w:t>; Jackson et al. 2004)</w:t>
      </w:r>
      <w:r w:rsidRPr="00DD54FD">
        <w:rPr>
          <w:rFonts w:ascii="Arial" w:hAnsi="Arial" w:cs="Arial"/>
          <w:sz w:val="24"/>
          <w:lang w:val="en-AU"/>
        </w:rPr>
        <w:t xml:space="preserve"> with standards bracketing every 10 unknown analyses. Data accuracy was monitored using secondary zircon standards </w:t>
      </w:r>
      <w:proofErr w:type="spellStart"/>
      <w:r w:rsidRPr="00DD54FD">
        <w:rPr>
          <w:rFonts w:ascii="Arial" w:hAnsi="Arial" w:cs="Arial"/>
          <w:sz w:val="24"/>
          <w:lang w:val="en-AU"/>
        </w:rPr>
        <w:t>Plešovice</w:t>
      </w:r>
      <w:proofErr w:type="spellEnd"/>
      <w:r w:rsidRPr="00DD54FD">
        <w:rPr>
          <w:rFonts w:ascii="Arial" w:hAnsi="Arial" w:cs="Arial"/>
          <w:sz w:val="24"/>
          <w:lang w:val="en-AU"/>
        </w:rPr>
        <w:t xml:space="preserve"> </w:t>
      </w:r>
      <w:r w:rsidRPr="00DD54FD">
        <w:rPr>
          <w:rFonts w:ascii="Arial" w:hAnsi="Arial" w:cs="Arial"/>
          <w:noProof/>
          <w:sz w:val="24"/>
          <w:lang w:val="en-AU"/>
        </w:rPr>
        <w:t xml:space="preserve">(TIMS data: </w:t>
      </w:r>
      <w:r w:rsidRPr="00DD54FD">
        <w:rPr>
          <w:rFonts w:ascii="Arial" w:hAnsi="Arial" w:cs="Arial"/>
          <w:noProof/>
          <w:sz w:val="24"/>
          <w:vertAlign w:val="superscript"/>
          <w:lang w:val="en-AU"/>
        </w:rPr>
        <w:t>206</w:t>
      </w:r>
      <w:r w:rsidRPr="00DD54FD">
        <w:rPr>
          <w:rFonts w:ascii="Arial" w:hAnsi="Arial" w:cs="Arial"/>
          <w:noProof/>
          <w:sz w:val="24"/>
          <w:lang w:val="en-AU"/>
        </w:rPr>
        <w:t>Pb/</w:t>
      </w:r>
      <w:r w:rsidRPr="00DD54FD">
        <w:rPr>
          <w:rFonts w:ascii="Arial" w:hAnsi="Arial" w:cs="Arial"/>
          <w:noProof/>
          <w:sz w:val="24"/>
          <w:vertAlign w:val="superscript"/>
          <w:lang w:val="en-AU"/>
        </w:rPr>
        <w:t>238</w:t>
      </w:r>
      <w:r w:rsidRPr="00DD54FD">
        <w:rPr>
          <w:rFonts w:ascii="Arial" w:hAnsi="Arial" w:cs="Arial"/>
          <w:noProof/>
          <w:sz w:val="24"/>
          <w:lang w:val="en-AU"/>
        </w:rPr>
        <w:t>U = 337.13 ± 0.37 Ma; Sláma et al. 2008)</w:t>
      </w:r>
      <w:r w:rsidRPr="00DD54FD">
        <w:rPr>
          <w:rFonts w:ascii="Arial" w:hAnsi="Arial" w:cs="Arial"/>
          <w:sz w:val="24"/>
          <w:lang w:val="en-AU"/>
        </w:rPr>
        <w:t xml:space="preserve"> and 91500 </w:t>
      </w:r>
      <w:r w:rsidRPr="00DD54FD">
        <w:rPr>
          <w:rFonts w:ascii="Arial" w:hAnsi="Arial" w:cs="Arial"/>
          <w:noProof/>
          <w:sz w:val="24"/>
          <w:lang w:val="en-AU"/>
        </w:rPr>
        <w:t xml:space="preserve">(TIMS data: </w:t>
      </w:r>
      <w:r w:rsidRPr="00DD54FD">
        <w:rPr>
          <w:rFonts w:ascii="Arial" w:hAnsi="Arial" w:cs="Arial"/>
          <w:noProof/>
          <w:sz w:val="24"/>
          <w:vertAlign w:val="superscript"/>
          <w:lang w:val="en-AU"/>
        </w:rPr>
        <w:t>206</w:t>
      </w:r>
      <w:r w:rsidRPr="00DD54FD">
        <w:rPr>
          <w:rFonts w:ascii="Arial" w:hAnsi="Arial" w:cs="Arial"/>
          <w:noProof/>
          <w:sz w:val="24"/>
          <w:lang w:val="en-AU"/>
        </w:rPr>
        <w:t>Pb/</w:t>
      </w:r>
      <w:r w:rsidRPr="00DD54FD">
        <w:rPr>
          <w:rFonts w:ascii="Arial" w:hAnsi="Arial" w:cs="Arial"/>
          <w:noProof/>
          <w:sz w:val="24"/>
          <w:vertAlign w:val="superscript"/>
          <w:lang w:val="en-AU"/>
        </w:rPr>
        <w:t>238</w:t>
      </w:r>
      <w:r w:rsidRPr="00DD54FD">
        <w:rPr>
          <w:rFonts w:ascii="Arial" w:hAnsi="Arial" w:cs="Arial"/>
          <w:noProof/>
          <w:sz w:val="24"/>
          <w:lang w:val="en-AU"/>
        </w:rPr>
        <w:t>U = 1065 ± 0.4 Ma; Wiedenbeck et al. 1995)</w:t>
      </w:r>
      <w:r w:rsidRPr="00DD54FD">
        <w:rPr>
          <w:rFonts w:ascii="Arial" w:hAnsi="Arial" w:cs="Arial"/>
          <w:sz w:val="24"/>
          <w:lang w:val="en-AU"/>
        </w:rPr>
        <w:t xml:space="preserve">. </w:t>
      </w:r>
    </w:p>
    <w:p w14:paraId="6F90892C" w14:textId="331A999E" w:rsidR="00A96285" w:rsidRDefault="00A96285" w:rsidP="00A96285">
      <w:pPr>
        <w:spacing w:line="276" w:lineRule="auto"/>
        <w:rPr>
          <w:rFonts w:ascii="Arial" w:hAnsi="Arial" w:cs="Arial"/>
          <w:sz w:val="24"/>
          <w:lang w:val="en-AU"/>
        </w:rPr>
      </w:pPr>
      <w:r w:rsidRPr="00DD54FD">
        <w:rPr>
          <w:rFonts w:ascii="Arial" w:hAnsi="Arial" w:cs="Arial"/>
          <w:sz w:val="24"/>
          <w:lang w:val="en-AU"/>
        </w:rPr>
        <w:t xml:space="preserve">The weighted mean ages of external standards analysed over the course of this study were as follows: </w:t>
      </w:r>
      <w:proofErr w:type="spellStart"/>
      <w:r w:rsidRPr="00DD54FD">
        <w:rPr>
          <w:rFonts w:ascii="Arial" w:hAnsi="Arial" w:cs="Arial"/>
          <w:sz w:val="24"/>
          <w:lang w:val="en-AU"/>
        </w:rPr>
        <w:t>Plešovice</w:t>
      </w:r>
      <w:proofErr w:type="spellEnd"/>
      <w:r w:rsidRPr="00DD54FD">
        <w:rPr>
          <w:rFonts w:ascii="Arial" w:hAnsi="Arial" w:cs="Arial"/>
          <w:sz w:val="24"/>
          <w:lang w:val="en-AU"/>
        </w:rPr>
        <w:t xml:space="preserve">: </w:t>
      </w:r>
      <w:r w:rsidRPr="00DD54FD">
        <w:rPr>
          <w:rFonts w:ascii="Arial" w:hAnsi="Arial" w:cs="Arial"/>
          <w:sz w:val="24"/>
          <w:vertAlign w:val="superscript"/>
          <w:lang w:val="en-AU"/>
        </w:rPr>
        <w:t>207</w:t>
      </w:r>
      <w:r w:rsidRPr="00DD54FD">
        <w:rPr>
          <w:rFonts w:ascii="Arial" w:hAnsi="Arial" w:cs="Arial"/>
          <w:sz w:val="24"/>
          <w:lang w:val="en-AU"/>
        </w:rPr>
        <w:t>Pb/</w:t>
      </w:r>
      <w:r w:rsidRPr="00DD54FD">
        <w:rPr>
          <w:rFonts w:ascii="Arial" w:hAnsi="Arial" w:cs="Arial"/>
          <w:sz w:val="24"/>
          <w:vertAlign w:val="superscript"/>
          <w:lang w:val="en-AU"/>
        </w:rPr>
        <w:t>206</w:t>
      </w:r>
      <w:r w:rsidRPr="00DD54FD">
        <w:rPr>
          <w:rFonts w:ascii="Arial" w:hAnsi="Arial" w:cs="Arial"/>
          <w:sz w:val="24"/>
          <w:lang w:val="en-AU"/>
        </w:rPr>
        <w:t>Pb = 322 ± 15</w:t>
      </w:r>
      <w:r w:rsidR="008E388D">
        <w:rPr>
          <w:rFonts w:ascii="Arial" w:hAnsi="Arial" w:cs="Arial"/>
          <w:sz w:val="24"/>
          <w:lang w:val="en-AU"/>
        </w:rPr>
        <w:t xml:space="preserve"> Ma</w:t>
      </w:r>
      <w:r w:rsidRPr="00DD54FD">
        <w:rPr>
          <w:rFonts w:ascii="Arial" w:hAnsi="Arial" w:cs="Arial"/>
          <w:sz w:val="24"/>
          <w:lang w:val="en-AU"/>
        </w:rPr>
        <w:t xml:space="preserve"> (</w:t>
      </w:r>
      <w:r w:rsidRPr="00DD54FD">
        <w:rPr>
          <w:rFonts w:ascii="Arial" w:hAnsi="Arial" w:cs="Arial"/>
          <w:i/>
          <w:sz w:val="24"/>
          <w:lang w:val="en-AU"/>
        </w:rPr>
        <w:t>n</w:t>
      </w:r>
      <w:r w:rsidRPr="00DD54FD">
        <w:rPr>
          <w:rFonts w:ascii="Arial" w:hAnsi="Arial" w:cs="Arial"/>
          <w:sz w:val="24"/>
          <w:lang w:val="en-AU"/>
        </w:rPr>
        <w:t xml:space="preserve"> = 50, MSWD = 2.3), </w:t>
      </w:r>
      <w:r w:rsidRPr="00DD54FD">
        <w:rPr>
          <w:rFonts w:ascii="Arial" w:hAnsi="Arial" w:cs="Arial"/>
          <w:sz w:val="24"/>
          <w:vertAlign w:val="superscript"/>
          <w:lang w:val="en-AU"/>
        </w:rPr>
        <w:t>206</w:t>
      </w:r>
      <w:r w:rsidRPr="00DD54FD">
        <w:rPr>
          <w:rFonts w:ascii="Arial" w:hAnsi="Arial" w:cs="Arial"/>
          <w:sz w:val="24"/>
          <w:lang w:val="en-AU"/>
        </w:rPr>
        <w:t>Pb/</w:t>
      </w:r>
      <w:r w:rsidRPr="00DD54FD">
        <w:rPr>
          <w:rFonts w:ascii="Arial" w:hAnsi="Arial" w:cs="Arial"/>
          <w:sz w:val="24"/>
          <w:vertAlign w:val="superscript"/>
          <w:lang w:val="en-AU"/>
        </w:rPr>
        <w:t>238</w:t>
      </w:r>
      <w:r w:rsidRPr="00DD54FD">
        <w:rPr>
          <w:rFonts w:ascii="Arial" w:hAnsi="Arial" w:cs="Arial"/>
          <w:sz w:val="24"/>
          <w:lang w:val="en-AU"/>
        </w:rPr>
        <w:t>U = 337 ± 0.71</w:t>
      </w:r>
      <w:r w:rsidR="008E388D">
        <w:rPr>
          <w:rFonts w:ascii="Arial" w:hAnsi="Arial" w:cs="Arial"/>
          <w:sz w:val="24"/>
          <w:lang w:val="en-AU"/>
        </w:rPr>
        <w:t xml:space="preserve"> Ma</w:t>
      </w:r>
      <w:r w:rsidRPr="00DD54FD">
        <w:rPr>
          <w:rFonts w:ascii="Arial" w:hAnsi="Arial" w:cs="Arial"/>
          <w:sz w:val="24"/>
          <w:lang w:val="en-AU"/>
        </w:rPr>
        <w:t xml:space="preserve"> (</w:t>
      </w:r>
      <w:r w:rsidRPr="00DD54FD">
        <w:rPr>
          <w:rFonts w:ascii="Arial" w:hAnsi="Arial" w:cs="Arial"/>
          <w:i/>
          <w:sz w:val="24"/>
          <w:lang w:val="en-AU"/>
        </w:rPr>
        <w:t>n</w:t>
      </w:r>
      <w:r w:rsidRPr="00DD54FD">
        <w:rPr>
          <w:rFonts w:ascii="Arial" w:hAnsi="Arial" w:cs="Arial"/>
          <w:sz w:val="24"/>
          <w:lang w:val="en-AU"/>
        </w:rPr>
        <w:t xml:space="preserve"> = 50, MSWD = 1.3), </w:t>
      </w:r>
      <w:r w:rsidRPr="00DD54FD">
        <w:rPr>
          <w:rFonts w:ascii="Arial" w:hAnsi="Arial" w:cs="Arial"/>
          <w:sz w:val="24"/>
          <w:vertAlign w:val="superscript"/>
          <w:lang w:val="en-AU"/>
        </w:rPr>
        <w:t>207</w:t>
      </w:r>
      <w:r w:rsidRPr="00DD54FD">
        <w:rPr>
          <w:rFonts w:ascii="Arial" w:hAnsi="Arial" w:cs="Arial"/>
          <w:sz w:val="24"/>
          <w:lang w:val="en-AU"/>
        </w:rPr>
        <w:t>Pb/</w:t>
      </w:r>
      <w:r w:rsidRPr="00DD54FD">
        <w:rPr>
          <w:rFonts w:ascii="Arial" w:hAnsi="Arial" w:cs="Arial"/>
          <w:sz w:val="24"/>
          <w:vertAlign w:val="superscript"/>
          <w:lang w:val="en-AU"/>
        </w:rPr>
        <w:t>235</w:t>
      </w:r>
      <w:r w:rsidRPr="00DD54FD">
        <w:rPr>
          <w:rFonts w:ascii="Arial" w:hAnsi="Arial" w:cs="Arial"/>
          <w:sz w:val="24"/>
          <w:lang w:val="en-AU"/>
        </w:rPr>
        <w:t>U = 337 ± 1.6</w:t>
      </w:r>
      <w:r w:rsidR="008E388D">
        <w:rPr>
          <w:rFonts w:ascii="Arial" w:hAnsi="Arial" w:cs="Arial"/>
          <w:sz w:val="24"/>
          <w:lang w:val="en-AU"/>
        </w:rPr>
        <w:t xml:space="preserve"> Ma</w:t>
      </w:r>
      <w:r w:rsidR="008E388D" w:rsidRPr="00DD54FD">
        <w:rPr>
          <w:rFonts w:ascii="Arial" w:hAnsi="Arial" w:cs="Arial"/>
          <w:sz w:val="24"/>
          <w:lang w:val="en-AU"/>
        </w:rPr>
        <w:t xml:space="preserve"> </w:t>
      </w:r>
      <w:r w:rsidRPr="00DD54FD">
        <w:rPr>
          <w:rFonts w:ascii="Arial" w:hAnsi="Arial" w:cs="Arial"/>
          <w:sz w:val="24"/>
          <w:lang w:val="en-AU"/>
        </w:rPr>
        <w:t>(</w:t>
      </w:r>
      <w:r w:rsidRPr="00DD54FD">
        <w:rPr>
          <w:rFonts w:ascii="Arial" w:hAnsi="Arial" w:cs="Arial"/>
          <w:i/>
          <w:sz w:val="24"/>
          <w:lang w:val="en-AU"/>
        </w:rPr>
        <w:t>n</w:t>
      </w:r>
      <w:r w:rsidRPr="00DD54FD">
        <w:rPr>
          <w:rFonts w:ascii="Arial" w:hAnsi="Arial" w:cs="Arial"/>
          <w:sz w:val="24"/>
          <w:lang w:val="en-AU"/>
        </w:rPr>
        <w:t xml:space="preserve"> = 50, MSWD = 1.8); 91500: </w:t>
      </w:r>
      <w:r w:rsidRPr="00DD54FD">
        <w:rPr>
          <w:rFonts w:ascii="Arial" w:hAnsi="Arial" w:cs="Arial"/>
          <w:sz w:val="24"/>
          <w:vertAlign w:val="superscript"/>
          <w:lang w:val="en-AU"/>
        </w:rPr>
        <w:t>207</w:t>
      </w:r>
      <w:r w:rsidRPr="00DD54FD">
        <w:rPr>
          <w:rFonts w:ascii="Arial" w:hAnsi="Arial" w:cs="Arial"/>
          <w:sz w:val="24"/>
          <w:lang w:val="en-AU"/>
        </w:rPr>
        <w:t>Pb/</w:t>
      </w:r>
      <w:r w:rsidRPr="00DD54FD">
        <w:rPr>
          <w:rFonts w:ascii="Arial" w:hAnsi="Arial" w:cs="Arial"/>
          <w:sz w:val="24"/>
          <w:vertAlign w:val="superscript"/>
          <w:lang w:val="en-AU"/>
        </w:rPr>
        <w:t>206</w:t>
      </w:r>
      <w:r w:rsidRPr="00DD54FD">
        <w:rPr>
          <w:rFonts w:ascii="Arial" w:hAnsi="Arial" w:cs="Arial"/>
          <w:sz w:val="24"/>
          <w:lang w:val="en-AU"/>
        </w:rPr>
        <w:t>Pb = 1032 ± 15</w:t>
      </w:r>
      <w:r w:rsidR="008E388D">
        <w:rPr>
          <w:rFonts w:ascii="Arial" w:hAnsi="Arial" w:cs="Arial"/>
          <w:sz w:val="24"/>
          <w:lang w:val="en-AU"/>
        </w:rPr>
        <w:t xml:space="preserve"> Ma</w:t>
      </w:r>
      <w:r w:rsidRPr="00DD54FD">
        <w:rPr>
          <w:rFonts w:ascii="Arial" w:hAnsi="Arial" w:cs="Arial"/>
          <w:sz w:val="24"/>
          <w:lang w:val="en-AU"/>
        </w:rPr>
        <w:t xml:space="preserve"> (</w:t>
      </w:r>
      <w:r w:rsidRPr="00DD54FD">
        <w:rPr>
          <w:rFonts w:ascii="Arial" w:hAnsi="Arial" w:cs="Arial"/>
          <w:i/>
          <w:sz w:val="24"/>
          <w:lang w:val="en-AU"/>
        </w:rPr>
        <w:t>n</w:t>
      </w:r>
      <w:r w:rsidRPr="00DD54FD">
        <w:rPr>
          <w:rFonts w:ascii="Arial" w:hAnsi="Arial" w:cs="Arial"/>
          <w:sz w:val="24"/>
          <w:lang w:val="en-AU"/>
        </w:rPr>
        <w:t xml:space="preserve"> = 50, MSWD = 1.8), </w:t>
      </w:r>
      <w:r w:rsidRPr="00DD54FD">
        <w:rPr>
          <w:rFonts w:ascii="Arial" w:hAnsi="Arial" w:cs="Arial"/>
          <w:sz w:val="24"/>
          <w:vertAlign w:val="superscript"/>
          <w:lang w:val="en-AU"/>
        </w:rPr>
        <w:t>206</w:t>
      </w:r>
      <w:r w:rsidRPr="00DD54FD">
        <w:rPr>
          <w:rFonts w:ascii="Arial" w:hAnsi="Arial" w:cs="Arial"/>
          <w:sz w:val="24"/>
          <w:lang w:val="en-AU"/>
        </w:rPr>
        <w:t>Pb/</w:t>
      </w:r>
      <w:r w:rsidRPr="00DD54FD">
        <w:rPr>
          <w:rFonts w:ascii="Arial" w:hAnsi="Arial" w:cs="Arial"/>
          <w:sz w:val="24"/>
          <w:vertAlign w:val="superscript"/>
          <w:lang w:val="en-AU"/>
        </w:rPr>
        <w:t>238</w:t>
      </w:r>
      <w:r w:rsidRPr="00DD54FD">
        <w:rPr>
          <w:rFonts w:ascii="Arial" w:hAnsi="Arial" w:cs="Arial"/>
          <w:sz w:val="24"/>
          <w:lang w:val="en-AU"/>
        </w:rPr>
        <w:t>U = 1052 ± 2.4</w:t>
      </w:r>
      <w:r w:rsidR="008E388D">
        <w:rPr>
          <w:rFonts w:ascii="Arial" w:hAnsi="Arial" w:cs="Arial"/>
          <w:sz w:val="24"/>
          <w:lang w:val="en-AU"/>
        </w:rPr>
        <w:t xml:space="preserve"> Ma</w:t>
      </w:r>
      <w:r w:rsidRPr="00DD54FD">
        <w:rPr>
          <w:rFonts w:ascii="Arial" w:hAnsi="Arial" w:cs="Arial"/>
          <w:sz w:val="24"/>
          <w:lang w:val="en-AU"/>
        </w:rPr>
        <w:t xml:space="preserve"> (</w:t>
      </w:r>
      <w:r w:rsidRPr="00DD54FD">
        <w:rPr>
          <w:rFonts w:ascii="Arial" w:hAnsi="Arial" w:cs="Arial"/>
          <w:i/>
          <w:sz w:val="24"/>
          <w:lang w:val="en-AU"/>
        </w:rPr>
        <w:t>n</w:t>
      </w:r>
      <w:r w:rsidRPr="00DD54FD">
        <w:rPr>
          <w:rFonts w:ascii="Arial" w:hAnsi="Arial" w:cs="Arial"/>
          <w:sz w:val="24"/>
          <w:lang w:val="en-AU"/>
        </w:rPr>
        <w:t xml:space="preserve"> = 50, MSWD = 1.07), </w:t>
      </w:r>
      <w:r w:rsidRPr="00DD54FD">
        <w:rPr>
          <w:rFonts w:ascii="Arial" w:hAnsi="Arial" w:cs="Arial"/>
          <w:sz w:val="24"/>
          <w:vertAlign w:val="superscript"/>
          <w:lang w:val="en-AU"/>
        </w:rPr>
        <w:t>207</w:t>
      </w:r>
      <w:r w:rsidRPr="00DD54FD">
        <w:rPr>
          <w:rFonts w:ascii="Arial" w:hAnsi="Arial" w:cs="Arial"/>
          <w:sz w:val="24"/>
          <w:lang w:val="en-AU"/>
        </w:rPr>
        <w:t>Pb/</w:t>
      </w:r>
      <w:r w:rsidRPr="00DD54FD">
        <w:rPr>
          <w:rFonts w:ascii="Arial" w:hAnsi="Arial" w:cs="Arial"/>
          <w:sz w:val="24"/>
          <w:vertAlign w:val="superscript"/>
          <w:lang w:val="en-AU"/>
        </w:rPr>
        <w:t>235</w:t>
      </w:r>
      <w:r w:rsidRPr="00DD54FD">
        <w:rPr>
          <w:rFonts w:ascii="Arial" w:hAnsi="Arial" w:cs="Arial"/>
          <w:sz w:val="24"/>
          <w:lang w:val="en-AU"/>
        </w:rPr>
        <w:t>U = 1052 ± 4.5</w:t>
      </w:r>
      <w:r w:rsidR="008E388D">
        <w:rPr>
          <w:rFonts w:ascii="Arial" w:hAnsi="Arial" w:cs="Arial"/>
          <w:sz w:val="24"/>
          <w:lang w:val="en-AU"/>
        </w:rPr>
        <w:t xml:space="preserve"> Ma</w:t>
      </w:r>
      <w:r w:rsidRPr="00DD54FD">
        <w:rPr>
          <w:rFonts w:ascii="Arial" w:hAnsi="Arial" w:cs="Arial"/>
          <w:sz w:val="24"/>
          <w:lang w:val="en-AU"/>
        </w:rPr>
        <w:t xml:space="preserve"> (</w:t>
      </w:r>
      <w:r w:rsidRPr="00DD54FD">
        <w:rPr>
          <w:rFonts w:ascii="Arial" w:hAnsi="Arial" w:cs="Arial"/>
          <w:i/>
          <w:sz w:val="24"/>
          <w:lang w:val="en-AU"/>
        </w:rPr>
        <w:t>n</w:t>
      </w:r>
      <w:r w:rsidRPr="00DD54FD">
        <w:rPr>
          <w:rFonts w:ascii="Arial" w:hAnsi="Arial" w:cs="Arial"/>
          <w:sz w:val="24"/>
          <w:lang w:val="en-AU"/>
        </w:rPr>
        <w:t xml:space="preserve"> = 50, MSWD = 1.7).</w:t>
      </w:r>
      <w:r w:rsidR="00214835">
        <w:rPr>
          <w:rFonts w:ascii="Arial" w:hAnsi="Arial" w:cs="Arial"/>
          <w:sz w:val="24"/>
          <w:lang w:val="en-AU"/>
        </w:rPr>
        <w:t xml:space="preserve"> </w:t>
      </w:r>
      <w:bookmarkStart w:id="0" w:name="_GoBack"/>
      <w:r w:rsidR="00214835" w:rsidRPr="00A40C52">
        <w:rPr>
          <w:rFonts w:ascii="Arial" w:hAnsi="Arial" w:cs="Arial"/>
          <w:color w:val="000000" w:themeColor="text1"/>
          <w:sz w:val="24"/>
          <w:lang w:val="en-AU"/>
        </w:rPr>
        <w:t xml:space="preserve">The minor discrepancy between our calculated 91500 </w:t>
      </w:r>
      <w:r w:rsidR="00214835" w:rsidRPr="00A40C52">
        <w:rPr>
          <w:rFonts w:ascii="Arial" w:hAnsi="Arial" w:cs="Arial"/>
          <w:color w:val="000000" w:themeColor="text1"/>
          <w:sz w:val="24"/>
          <w:vertAlign w:val="superscript"/>
          <w:lang w:val="en-AU"/>
        </w:rPr>
        <w:t>206</w:t>
      </w:r>
      <w:r w:rsidR="00214835" w:rsidRPr="00A40C52">
        <w:rPr>
          <w:rFonts w:ascii="Arial" w:hAnsi="Arial" w:cs="Arial"/>
          <w:color w:val="000000" w:themeColor="text1"/>
          <w:sz w:val="24"/>
          <w:lang w:val="en-AU"/>
        </w:rPr>
        <w:t>Pb/</w:t>
      </w:r>
      <w:r w:rsidR="00214835" w:rsidRPr="00A40C52">
        <w:rPr>
          <w:rFonts w:ascii="Arial" w:hAnsi="Arial" w:cs="Arial"/>
          <w:color w:val="000000" w:themeColor="text1"/>
          <w:sz w:val="24"/>
          <w:vertAlign w:val="superscript"/>
          <w:lang w:val="en-AU"/>
        </w:rPr>
        <w:t>238</w:t>
      </w:r>
      <w:r w:rsidR="00214835" w:rsidRPr="00A40C52">
        <w:rPr>
          <w:rFonts w:ascii="Arial" w:hAnsi="Arial" w:cs="Arial"/>
          <w:color w:val="000000" w:themeColor="text1"/>
          <w:sz w:val="24"/>
          <w:lang w:val="en-AU"/>
        </w:rPr>
        <w:t xml:space="preserve">U age and the quoted TIMS age can likely be attributed to matrix effects (e.g. radiation dose, Pb &amp; U ppm variations etc.). These effects commonly cause LA–ICP–MS ages to be systematically younger than the expected TIMS age by 3–4% (e.g. </w:t>
      </w:r>
      <w:proofErr w:type="spellStart"/>
      <w:r w:rsidR="00214835" w:rsidRPr="00A40C52">
        <w:rPr>
          <w:rFonts w:ascii="Arial" w:hAnsi="Arial" w:cs="Arial"/>
          <w:color w:val="000000" w:themeColor="text1"/>
          <w:sz w:val="24"/>
          <w:lang w:val="en-AU"/>
        </w:rPr>
        <w:t>Orihashi</w:t>
      </w:r>
      <w:proofErr w:type="spellEnd"/>
      <w:r w:rsidR="00214835" w:rsidRPr="00A40C52">
        <w:rPr>
          <w:rFonts w:ascii="Arial" w:hAnsi="Arial" w:cs="Arial"/>
          <w:color w:val="000000" w:themeColor="text1"/>
          <w:sz w:val="24"/>
          <w:lang w:val="en-AU"/>
        </w:rPr>
        <w:t xml:space="preserve"> et al. 2008)</w:t>
      </w:r>
      <w:bookmarkEnd w:id="0"/>
    </w:p>
    <w:p w14:paraId="5A9737E5" w14:textId="77777777" w:rsidR="00A96285" w:rsidRPr="00DD54FD" w:rsidRDefault="00A96285" w:rsidP="00A96285">
      <w:pPr>
        <w:spacing w:line="276" w:lineRule="auto"/>
        <w:rPr>
          <w:rFonts w:ascii="Arial" w:hAnsi="Arial" w:cs="Arial"/>
          <w:b/>
          <w:i/>
          <w:sz w:val="24"/>
          <w:lang w:val="en-AU"/>
        </w:rPr>
      </w:pPr>
      <w:r w:rsidRPr="00DD54FD">
        <w:rPr>
          <w:rFonts w:ascii="Arial" w:hAnsi="Arial" w:cs="Arial"/>
          <w:b/>
          <w:i/>
          <w:sz w:val="24"/>
          <w:lang w:val="en-AU"/>
        </w:rPr>
        <w:t>Monazite U–Pb geochronology</w:t>
      </w:r>
    </w:p>
    <w:p w14:paraId="76483863" w14:textId="2DE5EE1E" w:rsidR="00A96285" w:rsidRPr="00DD54FD" w:rsidRDefault="00A96285" w:rsidP="00A96285">
      <w:pPr>
        <w:spacing w:line="276" w:lineRule="auto"/>
        <w:rPr>
          <w:rFonts w:ascii="Arial" w:hAnsi="Arial" w:cs="Arial"/>
          <w:sz w:val="24"/>
          <w:lang w:val="en-AU"/>
        </w:rPr>
      </w:pPr>
      <w:r w:rsidRPr="00DD54FD">
        <w:rPr>
          <w:rFonts w:ascii="Arial" w:hAnsi="Arial" w:cs="Arial"/>
          <w:sz w:val="24"/>
          <w:lang w:val="en-AU"/>
        </w:rPr>
        <w:t xml:space="preserve">LA–ICP–MS monazite geochronology was conducted </w:t>
      </w:r>
      <w:r w:rsidRPr="00DD54FD">
        <w:rPr>
          <w:rFonts w:ascii="Arial" w:hAnsi="Arial" w:cs="Arial"/>
          <w:i/>
          <w:sz w:val="24"/>
          <w:lang w:val="en-AU"/>
        </w:rPr>
        <w:t>in situ</w:t>
      </w:r>
      <w:r>
        <w:rPr>
          <w:rFonts w:ascii="Arial" w:hAnsi="Arial" w:cs="Arial"/>
          <w:sz w:val="24"/>
          <w:lang w:val="en-AU"/>
        </w:rPr>
        <w:t xml:space="preserve"> for samples 53816 and 53815</w:t>
      </w:r>
      <w:r w:rsidRPr="00DD54FD">
        <w:rPr>
          <w:rFonts w:ascii="Arial" w:hAnsi="Arial" w:cs="Arial"/>
          <w:sz w:val="24"/>
          <w:lang w:val="en-AU"/>
        </w:rPr>
        <w:t>. Monazites were first located in each thin section using a back-scattered electron (BSE) detector on a FEI Quanta 600 Scanning Electron Microscope (SEM) accompanied with Mineral Liberation Analysis (MLA) software. Selected grains were then imaged using a BSE detector on a Phillips XL30 SEM to characterise in finer detail the</w:t>
      </w:r>
      <w:r w:rsidR="008E388D">
        <w:rPr>
          <w:rFonts w:ascii="Arial" w:hAnsi="Arial" w:cs="Arial"/>
          <w:sz w:val="24"/>
          <w:lang w:val="en-AU"/>
        </w:rPr>
        <w:t>ir</w:t>
      </w:r>
      <w:r w:rsidRPr="00DD54FD">
        <w:rPr>
          <w:rFonts w:ascii="Arial" w:hAnsi="Arial" w:cs="Arial"/>
          <w:sz w:val="24"/>
          <w:lang w:val="en-AU"/>
        </w:rPr>
        <w:t xml:space="preserve"> microstructural location</w:t>
      </w:r>
      <w:r w:rsidR="008E388D">
        <w:rPr>
          <w:rFonts w:ascii="Arial" w:hAnsi="Arial" w:cs="Arial"/>
          <w:sz w:val="24"/>
          <w:lang w:val="en-AU"/>
        </w:rPr>
        <w:t>s</w:t>
      </w:r>
      <w:r w:rsidRPr="00DD54FD">
        <w:rPr>
          <w:rFonts w:ascii="Arial" w:hAnsi="Arial" w:cs="Arial"/>
          <w:sz w:val="24"/>
          <w:lang w:val="en-AU"/>
        </w:rPr>
        <w:t xml:space="preserve"> and compositional variability. BSE images and MLA maps </w:t>
      </w:r>
      <w:r w:rsidRPr="00DD54FD">
        <w:rPr>
          <w:rFonts w:ascii="Arial" w:hAnsi="Arial" w:cs="Arial"/>
          <w:sz w:val="24"/>
          <w:lang w:val="en-AU"/>
        </w:rPr>
        <w:lastRenderedPageBreak/>
        <w:t xml:space="preserve">were collected using an acceleration voltage of 15–25 kV, spot size of 4–6 and working distance of 10 mm. </w:t>
      </w:r>
    </w:p>
    <w:p w14:paraId="4BA812E5" w14:textId="2BEC5A22" w:rsidR="00A96285" w:rsidRPr="00DD54FD" w:rsidRDefault="00A96285" w:rsidP="00A96285">
      <w:pPr>
        <w:spacing w:line="276" w:lineRule="auto"/>
        <w:rPr>
          <w:rFonts w:ascii="Arial" w:hAnsi="Arial" w:cs="Arial"/>
          <w:sz w:val="24"/>
          <w:lang w:val="en-AU"/>
        </w:rPr>
      </w:pPr>
      <w:r w:rsidRPr="00DD54FD">
        <w:rPr>
          <w:rFonts w:ascii="Arial" w:hAnsi="Arial" w:cs="Arial"/>
          <w:sz w:val="24"/>
          <w:lang w:val="en-AU"/>
        </w:rPr>
        <w:t xml:space="preserve">Monazite U–Pb data were collected at Adelaide Microscopy using a </w:t>
      </w:r>
      <w:proofErr w:type="spellStart"/>
      <w:r w:rsidRPr="00DD54FD">
        <w:rPr>
          <w:rFonts w:ascii="Arial" w:hAnsi="Arial" w:cs="Arial"/>
          <w:sz w:val="24"/>
          <w:lang w:val="en-AU"/>
        </w:rPr>
        <w:t>RESOlution</w:t>
      </w:r>
      <w:proofErr w:type="spellEnd"/>
      <w:r w:rsidRPr="00DD54FD">
        <w:rPr>
          <w:rFonts w:ascii="Arial" w:hAnsi="Arial" w:cs="Arial"/>
          <w:sz w:val="24"/>
          <w:lang w:val="en-AU"/>
        </w:rPr>
        <w:t xml:space="preserve"> LR 193 nm Excimer laser in a He ablation atmosphere, coupled to an Agilent 7700s ICP–MS. Ablation was performed with a frequency of 5 Hz. A spot size of 13 μm was used for sample 53816, whereas sample 53815 w</w:t>
      </w:r>
      <w:r>
        <w:rPr>
          <w:rFonts w:ascii="Arial" w:hAnsi="Arial" w:cs="Arial"/>
          <w:sz w:val="24"/>
          <w:lang w:val="en-AU"/>
        </w:rPr>
        <w:t>as</w:t>
      </w:r>
      <w:r w:rsidRPr="00DD54FD">
        <w:rPr>
          <w:rFonts w:ascii="Arial" w:hAnsi="Arial" w:cs="Arial"/>
          <w:sz w:val="24"/>
          <w:lang w:val="en-AU"/>
        </w:rPr>
        <w:t xml:space="preserve"> analysed using both</w:t>
      </w:r>
      <w:r>
        <w:rPr>
          <w:rFonts w:ascii="Arial" w:hAnsi="Arial" w:cs="Arial"/>
          <w:sz w:val="24"/>
          <w:lang w:val="en-AU"/>
        </w:rPr>
        <w:t xml:space="preserve"> </w:t>
      </w:r>
      <w:r w:rsidRPr="00DD54FD">
        <w:rPr>
          <w:rFonts w:ascii="Arial" w:hAnsi="Arial" w:cs="Arial"/>
          <w:sz w:val="24"/>
          <w:lang w:val="en-AU"/>
        </w:rPr>
        <w:t>9 μm and 13 μm spot sizes due to variability in monazite</w:t>
      </w:r>
      <w:r>
        <w:rPr>
          <w:rFonts w:ascii="Arial" w:hAnsi="Arial" w:cs="Arial"/>
          <w:sz w:val="24"/>
          <w:lang w:val="en-AU"/>
        </w:rPr>
        <w:t xml:space="preserve"> grain</w:t>
      </w:r>
      <w:r w:rsidRPr="00DD54FD">
        <w:rPr>
          <w:rFonts w:ascii="Arial" w:hAnsi="Arial" w:cs="Arial"/>
          <w:sz w:val="24"/>
          <w:lang w:val="en-AU"/>
        </w:rPr>
        <w:t xml:space="preserve"> size. Data acquisition included 30 seconds of background measurement and 30 seconds of </w:t>
      </w:r>
      <w:r>
        <w:rPr>
          <w:rFonts w:ascii="Arial" w:hAnsi="Arial" w:cs="Arial"/>
          <w:sz w:val="24"/>
          <w:lang w:val="en-AU"/>
        </w:rPr>
        <w:t xml:space="preserve">sample </w:t>
      </w:r>
      <w:r w:rsidRPr="00DD54FD">
        <w:rPr>
          <w:rFonts w:ascii="Arial" w:hAnsi="Arial" w:cs="Arial"/>
          <w:sz w:val="24"/>
          <w:lang w:val="en-AU"/>
        </w:rPr>
        <w:t xml:space="preserve">ablation. </w:t>
      </w:r>
    </w:p>
    <w:p w14:paraId="09E9A872" w14:textId="460CC9A0" w:rsidR="00A96285" w:rsidRDefault="00A96285" w:rsidP="00A96285">
      <w:pPr>
        <w:spacing w:line="276" w:lineRule="auto"/>
        <w:rPr>
          <w:rFonts w:ascii="Arial" w:hAnsi="Arial" w:cs="Arial"/>
          <w:sz w:val="24"/>
          <w:lang w:val="en-AU"/>
        </w:rPr>
      </w:pPr>
      <w:r w:rsidRPr="00DD54FD">
        <w:rPr>
          <w:rFonts w:ascii="Arial" w:hAnsi="Arial" w:cs="Arial"/>
          <w:sz w:val="24"/>
          <w:lang w:val="en-AU"/>
        </w:rPr>
        <w:t xml:space="preserve">Monazite isotopic data was reduced using Iolite software </w:t>
      </w:r>
      <w:r w:rsidRPr="00DD54FD">
        <w:rPr>
          <w:rFonts w:ascii="Arial" w:hAnsi="Arial" w:cs="Arial"/>
          <w:noProof/>
          <w:sz w:val="24"/>
          <w:lang w:val="en-AU"/>
        </w:rPr>
        <w:t>(Paton et al. 2011)</w:t>
      </w:r>
      <w:r w:rsidRPr="00DD54FD">
        <w:rPr>
          <w:rFonts w:ascii="Arial" w:hAnsi="Arial" w:cs="Arial"/>
          <w:sz w:val="24"/>
          <w:lang w:val="en-AU"/>
        </w:rPr>
        <w:t xml:space="preserve">. Elemental fractionation and mass bias for monazite geochronology was corrected using the primary standard </w:t>
      </w:r>
      <w:proofErr w:type="spellStart"/>
      <w:r w:rsidRPr="00DD54FD">
        <w:rPr>
          <w:rFonts w:ascii="Arial" w:hAnsi="Arial" w:cs="Arial"/>
          <w:sz w:val="24"/>
          <w:lang w:val="en-AU"/>
        </w:rPr>
        <w:t>MAdel</w:t>
      </w:r>
      <w:proofErr w:type="spellEnd"/>
      <w:r w:rsidRPr="00DD54FD">
        <w:rPr>
          <w:rFonts w:ascii="Arial" w:hAnsi="Arial" w:cs="Arial"/>
          <w:sz w:val="24"/>
          <w:lang w:val="en-AU"/>
        </w:rPr>
        <w:t xml:space="preserve"> (TIMS data: </w:t>
      </w:r>
      <w:r w:rsidRPr="00DD54FD">
        <w:rPr>
          <w:rFonts w:ascii="Arial" w:hAnsi="Arial" w:cs="Arial"/>
          <w:sz w:val="24"/>
          <w:vertAlign w:val="superscript"/>
          <w:lang w:val="en-AU"/>
        </w:rPr>
        <w:t>207</w:t>
      </w:r>
      <w:r w:rsidRPr="00DD54FD">
        <w:rPr>
          <w:rFonts w:ascii="Arial" w:hAnsi="Arial" w:cs="Arial"/>
          <w:sz w:val="24"/>
          <w:lang w:val="en-AU"/>
        </w:rPr>
        <w:t>Pb/</w:t>
      </w:r>
      <w:r w:rsidRPr="00DD54FD">
        <w:rPr>
          <w:rFonts w:ascii="Arial" w:hAnsi="Arial" w:cs="Arial"/>
          <w:sz w:val="24"/>
          <w:vertAlign w:val="superscript"/>
          <w:lang w:val="en-AU"/>
        </w:rPr>
        <w:t>206</w:t>
      </w:r>
      <w:r w:rsidRPr="00DD54FD">
        <w:rPr>
          <w:rFonts w:ascii="Arial" w:hAnsi="Arial" w:cs="Arial"/>
          <w:sz w:val="24"/>
          <w:lang w:val="en-AU"/>
        </w:rPr>
        <w:t xml:space="preserve">Pb = 492.01 ± 0.77 Ma, </w:t>
      </w:r>
      <w:r w:rsidRPr="00DD54FD">
        <w:rPr>
          <w:rFonts w:ascii="Arial" w:hAnsi="Arial" w:cs="Arial"/>
          <w:sz w:val="24"/>
          <w:vertAlign w:val="superscript"/>
          <w:lang w:val="en-AU"/>
        </w:rPr>
        <w:t>206</w:t>
      </w:r>
      <w:r w:rsidRPr="00DD54FD">
        <w:rPr>
          <w:rFonts w:ascii="Arial" w:hAnsi="Arial" w:cs="Arial"/>
          <w:sz w:val="24"/>
          <w:lang w:val="en-AU"/>
        </w:rPr>
        <w:t>Pb/</w:t>
      </w:r>
      <w:r w:rsidRPr="00DD54FD">
        <w:rPr>
          <w:rFonts w:ascii="Arial" w:hAnsi="Arial" w:cs="Arial"/>
          <w:sz w:val="24"/>
          <w:vertAlign w:val="superscript"/>
          <w:lang w:val="en-AU"/>
        </w:rPr>
        <w:t>238</w:t>
      </w:r>
      <w:r w:rsidRPr="00DD54FD">
        <w:rPr>
          <w:rFonts w:ascii="Arial" w:hAnsi="Arial" w:cs="Arial"/>
          <w:sz w:val="24"/>
          <w:lang w:val="en-AU"/>
        </w:rPr>
        <w:t xml:space="preserve">U = 517.9 ± 2.6 Ma and </w:t>
      </w:r>
      <w:r w:rsidRPr="00DD54FD">
        <w:rPr>
          <w:rFonts w:ascii="Arial" w:hAnsi="Arial" w:cs="Arial"/>
          <w:sz w:val="24"/>
          <w:vertAlign w:val="superscript"/>
          <w:lang w:val="en-AU"/>
        </w:rPr>
        <w:t>207</w:t>
      </w:r>
      <w:r w:rsidRPr="00DD54FD">
        <w:rPr>
          <w:rFonts w:ascii="Arial" w:hAnsi="Arial" w:cs="Arial"/>
          <w:sz w:val="24"/>
          <w:lang w:val="en-AU"/>
        </w:rPr>
        <w:t>Pb/</w:t>
      </w:r>
      <w:r w:rsidRPr="00DD54FD">
        <w:rPr>
          <w:rFonts w:ascii="Arial" w:hAnsi="Arial" w:cs="Arial"/>
          <w:sz w:val="24"/>
          <w:vertAlign w:val="superscript"/>
          <w:lang w:val="en-AU"/>
        </w:rPr>
        <w:t>235</w:t>
      </w:r>
      <w:r w:rsidRPr="00DD54FD">
        <w:rPr>
          <w:rFonts w:ascii="Arial" w:hAnsi="Arial" w:cs="Arial"/>
          <w:sz w:val="24"/>
          <w:lang w:val="en-AU"/>
        </w:rPr>
        <w:t>U = 513.13 ± 0.20 Ma</w:t>
      </w:r>
      <w:r>
        <w:rPr>
          <w:rFonts w:ascii="Arial" w:hAnsi="Arial" w:cs="Arial"/>
          <w:sz w:val="24"/>
          <w:lang w:val="en-AU"/>
        </w:rPr>
        <w:t>;</w:t>
      </w:r>
      <w:r w:rsidRPr="00DD54FD">
        <w:rPr>
          <w:rFonts w:ascii="Arial" w:hAnsi="Arial" w:cs="Arial"/>
          <w:sz w:val="24"/>
          <w:lang w:val="en-AU"/>
        </w:rPr>
        <w:t xml:space="preserve"> updated from </w:t>
      </w:r>
      <w:r w:rsidRPr="00DD54FD">
        <w:rPr>
          <w:rFonts w:ascii="Arial" w:hAnsi="Arial" w:cs="Arial"/>
          <w:noProof/>
          <w:sz w:val="24"/>
          <w:lang w:val="en-AU"/>
        </w:rPr>
        <w:t>Payne et al. (2008)</w:t>
      </w:r>
      <w:r w:rsidRPr="00DD54FD">
        <w:rPr>
          <w:rFonts w:ascii="Arial" w:hAnsi="Arial" w:cs="Arial"/>
          <w:sz w:val="24"/>
          <w:lang w:val="en-AU"/>
        </w:rPr>
        <w:t xml:space="preserve"> with additional TIMS analyses), with standard</w:t>
      </w:r>
      <w:r>
        <w:rPr>
          <w:rFonts w:ascii="Arial" w:hAnsi="Arial" w:cs="Arial"/>
          <w:sz w:val="24"/>
          <w:lang w:val="en-AU"/>
        </w:rPr>
        <w:t>s</w:t>
      </w:r>
      <w:r w:rsidRPr="00DD54FD">
        <w:rPr>
          <w:rFonts w:ascii="Arial" w:hAnsi="Arial" w:cs="Arial"/>
          <w:sz w:val="24"/>
          <w:lang w:val="en-AU"/>
        </w:rPr>
        <w:t xml:space="preserve"> bracketing every 10–15 unknown analyses. Data accuracy was monitored using the in-house monazite standard 94-222/Bruna-NW </w:t>
      </w:r>
      <w:r w:rsidRPr="00DD54FD">
        <w:rPr>
          <w:rFonts w:ascii="Arial" w:hAnsi="Arial" w:cs="Arial"/>
          <w:noProof/>
          <w:sz w:val="24"/>
          <w:lang w:val="en-AU"/>
        </w:rPr>
        <w:t xml:space="preserve">(SHRIMP data: </w:t>
      </w:r>
      <w:r w:rsidRPr="00DD54FD">
        <w:rPr>
          <w:rFonts w:ascii="Arial" w:hAnsi="Arial" w:cs="Arial"/>
          <w:noProof/>
          <w:sz w:val="24"/>
          <w:vertAlign w:val="superscript"/>
          <w:lang w:val="en-AU"/>
        </w:rPr>
        <w:t>206</w:t>
      </w:r>
      <w:r w:rsidRPr="00DD54FD">
        <w:rPr>
          <w:rFonts w:ascii="Arial" w:hAnsi="Arial" w:cs="Arial"/>
          <w:noProof/>
          <w:sz w:val="24"/>
          <w:lang w:val="en-AU"/>
        </w:rPr>
        <w:t>Pb/</w:t>
      </w:r>
      <w:r w:rsidRPr="00DD54FD">
        <w:rPr>
          <w:rFonts w:ascii="Arial" w:hAnsi="Arial" w:cs="Arial"/>
          <w:noProof/>
          <w:sz w:val="24"/>
          <w:vertAlign w:val="superscript"/>
          <w:lang w:val="en-AU"/>
        </w:rPr>
        <w:t>238</w:t>
      </w:r>
      <w:r w:rsidRPr="00DD54FD">
        <w:rPr>
          <w:rFonts w:ascii="Arial" w:hAnsi="Arial" w:cs="Arial"/>
          <w:noProof/>
          <w:sz w:val="24"/>
          <w:lang w:val="en-AU"/>
        </w:rPr>
        <w:t>U = 450.2 ± 3.4 Ma; Maidment 2005)</w:t>
      </w:r>
      <w:r w:rsidRPr="00DD54FD">
        <w:rPr>
          <w:rFonts w:ascii="Arial" w:hAnsi="Arial" w:cs="Arial"/>
          <w:sz w:val="24"/>
          <w:lang w:val="en-AU"/>
        </w:rPr>
        <w:t xml:space="preserve">. </w:t>
      </w:r>
      <w:bookmarkStart w:id="1" w:name="_Hlk505166312"/>
      <w:r w:rsidRPr="00DD54FD">
        <w:rPr>
          <w:rFonts w:ascii="Arial" w:hAnsi="Arial" w:cs="Arial"/>
          <w:sz w:val="24"/>
          <w:lang w:val="en-AU"/>
        </w:rPr>
        <w:t xml:space="preserve">Over the course of the study, 26 analyses of 94-222 yielded weighted mean ages of </w:t>
      </w:r>
      <w:r w:rsidRPr="00DD54FD">
        <w:rPr>
          <w:rFonts w:ascii="Arial" w:hAnsi="Arial" w:cs="Arial"/>
          <w:sz w:val="24"/>
          <w:vertAlign w:val="superscript"/>
          <w:lang w:val="en-AU"/>
        </w:rPr>
        <w:t>207</w:t>
      </w:r>
      <w:r w:rsidRPr="00DD54FD">
        <w:rPr>
          <w:rFonts w:ascii="Arial" w:hAnsi="Arial" w:cs="Arial"/>
          <w:sz w:val="24"/>
          <w:lang w:val="en-AU"/>
        </w:rPr>
        <w:t>Pb/</w:t>
      </w:r>
      <w:r w:rsidRPr="00DD54FD">
        <w:rPr>
          <w:rFonts w:ascii="Arial" w:hAnsi="Arial" w:cs="Arial"/>
          <w:sz w:val="24"/>
          <w:vertAlign w:val="superscript"/>
          <w:lang w:val="en-AU"/>
        </w:rPr>
        <w:t>206</w:t>
      </w:r>
      <w:r w:rsidRPr="00DD54FD">
        <w:rPr>
          <w:rFonts w:ascii="Arial" w:hAnsi="Arial" w:cs="Arial"/>
          <w:sz w:val="24"/>
          <w:lang w:val="en-AU"/>
        </w:rPr>
        <w:t>Pb = 433 ± 11</w:t>
      </w:r>
      <w:r w:rsidR="008E388D">
        <w:rPr>
          <w:rFonts w:ascii="Arial" w:hAnsi="Arial" w:cs="Arial"/>
          <w:sz w:val="24"/>
          <w:lang w:val="en-AU"/>
        </w:rPr>
        <w:t xml:space="preserve"> Ma</w:t>
      </w:r>
      <w:r w:rsidRPr="00DD54FD">
        <w:rPr>
          <w:rFonts w:ascii="Arial" w:hAnsi="Arial" w:cs="Arial"/>
          <w:sz w:val="24"/>
          <w:lang w:val="en-AU"/>
        </w:rPr>
        <w:t xml:space="preserve"> (MSWD = 0.50), </w:t>
      </w:r>
      <w:r w:rsidRPr="00DD54FD">
        <w:rPr>
          <w:rFonts w:ascii="Arial" w:hAnsi="Arial" w:cs="Arial"/>
          <w:sz w:val="24"/>
          <w:vertAlign w:val="superscript"/>
          <w:lang w:val="en-AU"/>
        </w:rPr>
        <w:t>206</w:t>
      </w:r>
      <w:r w:rsidRPr="00DD54FD">
        <w:rPr>
          <w:rFonts w:ascii="Arial" w:hAnsi="Arial" w:cs="Arial"/>
          <w:sz w:val="24"/>
          <w:lang w:val="en-AU"/>
        </w:rPr>
        <w:t>Pb/</w:t>
      </w:r>
      <w:r w:rsidRPr="00DD54FD">
        <w:rPr>
          <w:rFonts w:ascii="Arial" w:hAnsi="Arial" w:cs="Arial"/>
          <w:sz w:val="24"/>
          <w:vertAlign w:val="superscript"/>
          <w:lang w:val="en-AU"/>
        </w:rPr>
        <w:t>238</w:t>
      </w:r>
      <w:r w:rsidRPr="00DD54FD">
        <w:rPr>
          <w:rFonts w:ascii="Arial" w:hAnsi="Arial" w:cs="Arial"/>
          <w:sz w:val="24"/>
          <w:lang w:val="en-AU"/>
        </w:rPr>
        <w:t>U = 450 ± 1.3</w:t>
      </w:r>
      <w:r w:rsidR="008E388D">
        <w:rPr>
          <w:rFonts w:ascii="Arial" w:hAnsi="Arial" w:cs="Arial"/>
          <w:sz w:val="24"/>
          <w:lang w:val="en-AU"/>
        </w:rPr>
        <w:t xml:space="preserve"> Ma</w:t>
      </w:r>
      <w:r w:rsidRPr="00DD54FD">
        <w:rPr>
          <w:rFonts w:ascii="Arial" w:hAnsi="Arial" w:cs="Arial"/>
          <w:sz w:val="24"/>
          <w:lang w:val="en-AU"/>
        </w:rPr>
        <w:t xml:space="preserve"> (MSWD = 0.96) and </w:t>
      </w:r>
      <w:r w:rsidRPr="00DD54FD">
        <w:rPr>
          <w:rFonts w:ascii="Arial" w:hAnsi="Arial" w:cs="Arial"/>
          <w:sz w:val="24"/>
          <w:vertAlign w:val="superscript"/>
          <w:lang w:val="en-AU"/>
        </w:rPr>
        <w:t>207</w:t>
      </w:r>
      <w:r w:rsidRPr="00DD54FD">
        <w:rPr>
          <w:rFonts w:ascii="Arial" w:hAnsi="Arial" w:cs="Arial"/>
          <w:sz w:val="24"/>
          <w:lang w:val="en-AU"/>
        </w:rPr>
        <w:t>Pb/</w:t>
      </w:r>
      <w:r w:rsidRPr="00DD54FD">
        <w:rPr>
          <w:rFonts w:ascii="Arial" w:hAnsi="Arial" w:cs="Arial"/>
          <w:sz w:val="24"/>
          <w:vertAlign w:val="superscript"/>
          <w:lang w:val="en-AU"/>
        </w:rPr>
        <w:t>235</w:t>
      </w:r>
      <w:r w:rsidRPr="00DD54FD">
        <w:rPr>
          <w:rFonts w:ascii="Arial" w:hAnsi="Arial" w:cs="Arial"/>
          <w:sz w:val="24"/>
          <w:lang w:val="en-AU"/>
        </w:rPr>
        <w:t>U = 449 ± 1.8</w:t>
      </w:r>
      <w:r w:rsidR="008E388D">
        <w:rPr>
          <w:rFonts w:ascii="Arial" w:hAnsi="Arial" w:cs="Arial"/>
          <w:sz w:val="24"/>
          <w:lang w:val="en-AU"/>
        </w:rPr>
        <w:t xml:space="preserve"> Ma</w:t>
      </w:r>
      <w:r w:rsidRPr="00DD54FD">
        <w:rPr>
          <w:rFonts w:ascii="Arial" w:hAnsi="Arial" w:cs="Arial"/>
          <w:sz w:val="24"/>
          <w:lang w:val="en-AU"/>
        </w:rPr>
        <w:t xml:space="preserve"> </w:t>
      </w:r>
      <w:r w:rsidR="008E388D">
        <w:rPr>
          <w:rFonts w:ascii="Arial" w:hAnsi="Arial" w:cs="Arial"/>
          <w:sz w:val="24"/>
          <w:lang w:val="en-AU"/>
        </w:rPr>
        <w:t>(</w:t>
      </w:r>
      <w:r w:rsidRPr="00DD54FD">
        <w:rPr>
          <w:rFonts w:ascii="Arial" w:hAnsi="Arial" w:cs="Arial"/>
          <w:sz w:val="24"/>
          <w:lang w:val="en-AU"/>
        </w:rPr>
        <w:t>MSWD = 0.85).</w:t>
      </w:r>
    </w:p>
    <w:p w14:paraId="3C38C567" w14:textId="5A40D8C4" w:rsidR="00A96285" w:rsidRPr="00A96285" w:rsidRDefault="00A96285" w:rsidP="00A96285">
      <w:pPr>
        <w:spacing w:line="276" w:lineRule="auto"/>
        <w:rPr>
          <w:rFonts w:ascii="Arial" w:hAnsi="Arial" w:cs="Arial"/>
          <w:b/>
          <w:i/>
          <w:sz w:val="24"/>
          <w:lang w:val="en-AU"/>
        </w:rPr>
      </w:pPr>
      <w:r w:rsidRPr="00A96285">
        <w:rPr>
          <w:rFonts w:ascii="Arial" w:hAnsi="Arial" w:cs="Arial"/>
          <w:b/>
          <w:i/>
          <w:sz w:val="24"/>
          <w:lang w:val="en-AU"/>
        </w:rPr>
        <w:t>Mineral chemistry</w:t>
      </w:r>
    </w:p>
    <w:p w14:paraId="18FE8771" w14:textId="68F9CAE5" w:rsidR="00A96285" w:rsidRPr="00DD54FD" w:rsidRDefault="00A96285" w:rsidP="00A96285">
      <w:pPr>
        <w:spacing w:line="276" w:lineRule="auto"/>
        <w:rPr>
          <w:rFonts w:ascii="Arial" w:hAnsi="Arial" w:cs="Arial"/>
          <w:sz w:val="24"/>
          <w:lang w:val="en-AU"/>
        </w:rPr>
      </w:pPr>
      <w:r w:rsidRPr="00A96285">
        <w:rPr>
          <w:rFonts w:ascii="Arial" w:hAnsi="Arial" w:cs="Arial"/>
          <w:sz w:val="24"/>
          <w:lang w:val="en-AU"/>
        </w:rPr>
        <w:t xml:space="preserve">Mineral chemical analyses were obtained using a </w:t>
      </w:r>
      <w:proofErr w:type="spellStart"/>
      <w:r w:rsidRPr="00A96285">
        <w:rPr>
          <w:rFonts w:ascii="Arial" w:hAnsi="Arial" w:cs="Arial"/>
          <w:sz w:val="24"/>
          <w:lang w:val="en-AU"/>
        </w:rPr>
        <w:t>Cameca</w:t>
      </w:r>
      <w:proofErr w:type="spellEnd"/>
      <w:r w:rsidRPr="00A96285">
        <w:rPr>
          <w:rFonts w:ascii="Arial" w:hAnsi="Arial" w:cs="Arial"/>
          <w:sz w:val="24"/>
          <w:lang w:val="en-AU"/>
        </w:rPr>
        <w:t xml:space="preserve"> </w:t>
      </w:r>
      <w:proofErr w:type="spellStart"/>
      <w:r w:rsidRPr="00A96285">
        <w:rPr>
          <w:rFonts w:ascii="Arial" w:hAnsi="Arial" w:cs="Arial"/>
          <w:sz w:val="24"/>
          <w:lang w:val="en-AU"/>
        </w:rPr>
        <w:t>SXFive</w:t>
      </w:r>
      <w:proofErr w:type="spellEnd"/>
      <w:r w:rsidRPr="00A96285">
        <w:rPr>
          <w:rFonts w:ascii="Arial" w:hAnsi="Arial" w:cs="Arial"/>
          <w:sz w:val="24"/>
          <w:lang w:val="en-AU"/>
        </w:rPr>
        <w:t xml:space="preserve"> electron microprobe with five Wavelength Dispersive Spectrometers (WDS) at Adelaide Microscopy, using a beam current of 20 </w:t>
      </w:r>
      <w:proofErr w:type="spellStart"/>
      <w:r w:rsidRPr="00A96285">
        <w:rPr>
          <w:rFonts w:ascii="Arial" w:hAnsi="Arial" w:cs="Arial"/>
          <w:sz w:val="24"/>
          <w:lang w:val="en-AU"/>
        </w:rPr>
        <w:t>nA</w:t>
      </w:r>
      <w:proofErr w:type="spellEnd"/>
      <w:r w:rsidRPr="00A96285">
        <w:rPr>
          <w:rFonts w:ascii="Arial" w:hAnsi="Arial" w:cs="Arial"/>
          <w:sz w:val="24"/>
          <w:lang w:val="en-AU"/>
        </w:rPr>
        <w:t xml:space="preserve"> and an accelerating voltage of 15 kV. Calibration was performed on certified synthetic and natural mineral standards from </w:t>
      </w:r>
      <w:proofErr w:type="spellStart"/>
      <w:r w:rsidRPr="00A96285">
        <w:rPr>
          <w:rFonts w:ascii="Arial" w:hAnsi="Arial" w:cs="Arial"/>
          <w:sz w:val="24"/>
          <w:lang w:val="en-AU"/>
        </w:rPr>
        <w:t>Astimex</w:t>
      </w:r>
      <w:proofErr w:type="spellEnd"/>
      <w:r w:rsidRPr="00A96285">
        <w:rPr>
          <w:rFonts w:ascii="Arial" w:hAnsi="Arial" w:cs="Arial"/>
          <w:sz w:val="24"/>
          <w:lang w:val="en-AU"/>
        </w:rPr>
        <w:t xml:space="preserve"> Ltd and P&amp;H Associates. Data calibration and reduction was carried out in Probe for EPMA, distributed by Probe Software Inc.</w:t>
      </w:r>
    </w:p>
    <w:bookmarkEnd w:id="1"/>
    <w:p w14:paraId="03BD1A87" w14:textId="77777777" w:rsidR="00A96285" w:rsidRPr="00DD54FD" w:rsidRDefault="00A96285" w:rsidP="00A96285">
      <w:pPr>
        <w:spacing w:line="276" w:lineRule="auto"/>
        <w:rPr>
          <w:rFonts w:ascii="Arial" w:hAnsi="Arial" w:cs="Arial"/>
          <w:b/>
          <w:i/>
          <w:sz w:val="24"/>
          <w:lang w:val="en-AU"/>
        </w:rPr>
      </w:pPr>
      <w:r w:rsidRPr="00DD54FD">
        <w:rPr>
          <w:rFonts w:ascii="Arial" w:hAnsi="Arial" w:cs="Arial"/>
          <w:b/>
          <w:i/>
          <w:sz w:val="24"/>
          <w:lang w:val="en-AU"/>
        </w:rPr>
        <w:t>Phase equilibria modelling</w:t>
      </w:r>
    </w:p>
    <w:p w14:paraId="08AF62B2" w14:textId="25731FA7" w:rsidR="00A96285" w:rsidRDefault="00A96285" w:rsidP="00A96285">
      <w:pPr>
        <w:spacing w:line="276" w:lineRule="auto"/>
        <w:rPr>
          <w:rFonts w:ascii="Arial" w:hAnsi="Arial" w:cs="Arial"/>
          <w:sz w:val="24"/>
          <w:lang w:val="en-AU"/>
        </w:rPr>
      </w:pPr>
      <w:r w:rsidRPr="00DD54FD">
        <w:rPr>
          <w:rFonts w:ascii="Arial" w:hAnsi="Arial" w:cs="Arial"/>
          <w:sz w:val="24"/>
          <w:lang w:val="en-AU"/>
        </w:rPr>
        <w:t xml:space="preserve">Whole-rock chemical compositions for phase equilibria modelling were obtained by XRF analysis from Bureau Veritas, Perth. Phase equilibria models were calculated for samples 53815 and 53816 using THERMOCALC v3.40, using the latest internally-consistent thermodynamic dataset ‘ds62’ </w:t>
      </w:r>
      <w:r w:rsidRPr="00DD54FD">
        <w:rPr>
          <w:rFonts w:ascii="Arial" w:hAnsi="Arial" w:cs="Arial"/>
          <w:noProof/>
          <w:sz w:val="24"/>
          <w:lang w:val="en-AU"/>
        </w:rPr>
        <w:t>(Holland &amp; Powell 1998; Holland &amp; Powell 2011)</w:t>
      </w:r>
      <w:r w:rsidRPr="00DD54FD">
        <w:rPr>
          <w:rFonts w:ascii="Arial" w:hAnsi="Arial" w:cs="Arial"/>
          <w:sz w:val="24"/>
          <w:lang w:val="en-AU"/>
        </w:rPr>
        <w:t xml:space="preserve"> in the model chemical system </w:t>
      </w:r>
      <w:proofErr w:type="spellStart"/>
      <w:r w:rsidRPr="00DD54FD">
        <w:rPr>
          <w:rFonts w:ascii="Arial" w:hAnsi="Arial" w:cs="Arial"/>
          <w:sz w:val="24"/>
          <w:lang w:val="en-AU"/>
        </w:rPr>
        <w:t>MnNCKFMASHTO</w:t>
      </w:r>
      <w:proofErr w:type="spellEnd"/>
      <w:r w:rsidRPr="00DD54FD">
        <w:rPr>
          <w:rFonts w:ascii="Arial" w:hAnsi="Arial" w:cs="Arial"/>
          <w:sz w:val="24"/>
          <w:lang w:val="en-AU"/>
        </w:rPr>
        <w:t xml:space="preserve"> (</w:t>
      </w:r>
      <w:proofErr w:type="spellStart"/>
      <w:r w:rsidRPr="00DD54FD">
        <w:rPr>
          <w:rFonts w:ascii="Arial" w:hAnsi="Arial" w:cs="Arial"/>
          <w:sz w:val="24"/>
          <w:lang w:val="en-AU"/>
        </w:rPr>
        <w:t>MnO</w:t>
      </w:r>
      <w:proofErr w:type="spellEnd"/>
      <w:r w:rsidRPr="00DD54FD">
        <w:rPr>
          <w:rFonts w:ascii="Arial" w:hAnsi="Arial" w:cs="Arial"/>
          <w:sz w:val="24"/>
          <w:lang w:val="en-AU"/>
        </w:rPr>
        <w:t>–Na</w:t>
      </w:r>
      <w:r w:rsidRPr="00DD54FD">
        <w:rPr>
          <w:rFonts w:ascii="Arial" w:hAnsi="Arial" w:cs="Arial"/>
          <w:sz w:val="24"/>
          <w:vertAlign w:val="subscript"/>
          <w:lang w:val="en-AU"/>
        </w:rPr>
        <w:t>2</w:t>
      </w:r>
      <w:r w:rsidRPr="00DD54FD">
        <w:rPr>
          <w:rFonts w:ascii="Arial" w:hAnsi="Arial" w:cs="Arial"/>
          <w:sz w:val="24"/>
          <w:lang w:val="en-AU"/>
        </w:rPr>
        <w:t>O–</w:t>
      </w:r>
      <w:proofErr w:type="spellStart"/>
      <w:r w:rsidRPr="00DD54FD">
        <w:rPr>
          <w:rFonts w:ascii="Arial" w:hAnsi="Arial" w:cs="Arial"/>
          <w:sz w:val="24"/>
          <w:lang w:val="en-AU"/>
        </w:rPr>
        <w:t>CaO</w:t>
      </w:r>
      <w:proofErr w:type="spellEnd"/>
      <w:r w:rsidRPr="00DD54FD">
        <w:rPr>
          <w:rFonts w:ascii="Arial" w:hAnsi="Arial" w:cs="Arial"/>
          <w:sz w:val="24"/>
          <w:lang w:val="en-AU"/>
        </w:rPr>
        <w:t>–K</w:t>
      </w:r>
      <w:r w:rsidRPr="00DD54FD">
        <w:rPr>
          <w:rFonts w:ascii="Arial" w:hAnsi="Arial" w:cs="Arial"/>
          <w:sz w:val="24"/>
          <w:vertAlign w:val="subscript"/>
          <w:lang w:val="en-AU"/>
        </w:rPr>
        <w:t>2</w:t>
      </w:r>
      <w:r w:rsidRPr="00DD54FD">
        <w:rPr>
          <w:rFonts w:ascii="Arial" w:hAnsi="Arial" w:cs="Arial"/>
          <w:sz w:val="24"/>
          <w:lang w:val="en-AU"/>
        </w:rPr>
        <w:t>O–</w:t>
      </w:r>
      <w:proofErr w:type="spellStart"/>
      <w:r w:rsidRPr="00DD54FD">
        <w:rPr>
          <w:rFonts w:ascii="Arial" w:hAnsi="Arial" w:cs="Arial"/>
          <w:sz w:val="24"/>
          <w:lang w:val="en-AU"/>
        </w:rPr>
        <w:t>FeO</w:t>
      </w:r>
      <w:proofErr w:type="spellEnd"/>
      <w:r w:rsidRPr="00DD54FD">
        <w:rPr>
          <w:rFonts w:ascii="Arial" w:hAnsi="Arial" w:cs="Arial"/>
          <w:sz w:val="24"/>
          <w:lang w:val="en-AU"/>
        </w:rPr>
        <w:t>–MgO–Al</w:t>
      </w:r>
      <w:r w:rsidRPr="00DD54FD">
        <w:rPr>
          <w:rFonts w:ascii="Arial" w:hAnsi="Arial" w:cs="Arial"/>
          <w:sz w:val="24"/>
          <w:vertAlign w:val="subscript"/>
          <w:lang w:val="en-AU"/>
        </w:rPr>
        <w:t>2</w:t>
      </w:r>
      <w:r w:rsidRPr="00DD54FD">
        <w:rPr>
          <w:rFonts w:ascii="Arial" w:hAnsi="Arial" w:cs="Arial"/>
          <w:sz w:val="24"/>
          <w:lang w:val="en-AU"/>
        </w:rPr>
        <w:t>O</w:t>
      </w:r>
      <w:r w:rsidRPr="00DD54FD">
        <w:rPr>
          <w:rFonts w:ascii="Arial" w:hAnsi="Arial" w:cs="Arial"/>
          <w:sz w:val="24"/>
          <w:vertAlign w:val="subscript"/>
          <w:lang w:val="en-AU"/>
        </w:rPr>
        <w:t>3</w:t>
      </w:r>
      <w:r w:rsidRPr="00DD54FD">
        <w:rPr>
          <w:rFonts w:ascii="Arial" w:hAnsi="Arial" w:cs="Arial"/>
          <w:sz w:val="24"/>
          <w:lang w:val="en-AU"/>
        </w:rPr>
        <w:t>–SiO</w:t>
      </w:r>
      <w:r w:rsidRPr="00DD54FD">
        <w:rPr>
          <w:rFonts w:ascii="Arial" w:hAnsi="Arial" w:cs="Arial"/>
          <w:sz w:val="24"/>
          <w:vertAlign w:val="subscript"/>
          <w:lang w:val="en-AU"/>
        </w:rPr>
        <w:t>2</w:t>
      </w:r>
      <w:r w:rsidRPr="00DD54FD">
        <w:rPr>
          <w:rFonts w:ascii="Arial" w:hAnsi="Arial" w:cs="Arial"/>
          <w:sz w:val="24"/>
          <w:lang w:val="en-AU"/>
        </w:rPr>
        <w:t>–H2O–TiO</w:t>
      </w:r>
      <w:r w:rsidRPr="00DD54FD">
        <w:rPr>
          <w:rFonts w:ascii="Arial" w:hAnsi="Arial" w:cs="Arial"/>
          <w:sz w:val="24"/>
          <w:vertAlign w:val="subscript"/>
          <w:lang w:val="en-AU"/>
        </w:rPr>
        <w:t>2</w:t>
      </w:r>
      <w:r w:rsidRPr="00DD54FD">
        <w:rPr>
          <w:rFonts w:ascii="Arial" w:hAnsi="Arial" w:cs="Arial"/>
          <w:sz w:val="24"/>
          <w:lang w:val="en-AU"/>
        </w:rPr>
        <w:t xml:space="preserve">–O). Activity–composition models re-parameterised for metapelitic rocks in the </w:t>
      </w:r>
      <w:proofErr w:type="spellStart"/>
      <w:r w:rsidRPr="00DD54FD">
        <w:rPr>
          <w:rFonts w:ascii="Arial" w:hAnsi="Arial" w:cs="Arial"/>
          <w:sz w:val="24"/>
          <w:lang w:val="en-AU"/>
        </w:rPr>
        <w:t>MnNCKFMASHTO</w:t>
      </w:r>
      <w:proofErr w:type="spellEnd"/>
      <w:r w:rsidRPr="00DD54FD">
        <w:rPr>
          <w:rFonts w:ascii="Arial" w:hAnsi="Arial" w:cs="Arial"/>
          <w:sz w:val="24"/>
          <w:lang w:val="en-AU"/>
        </w:rPr>
        <w:t xml:space="preserve"> system were used </w:t>
      </w:r>
      <w:r>
        <w:rPr>
          <w:rFonts w:ascii="Arial" w:hAnsi="Arial" w:cs="Arial"/>
          <w:noProof/>
          <w:sz w:val="24"/>
          <w:lang w:val="en-AU"/>
        </w:rPr>
        <w:t>(Powell et al. 2014; White et al. 2014a; White et al. 2014b)</w:t>
      </w:r>
      <w:r w:rsidRPr="00DD54FD">
        <w:rPr>
          <w:rFonts w:ascii="Arial" w:hAnsi="Arial" w:cs="Arial"/>
          <w:sz w:val="24"/>
          <w:lang w:val="en-AU"/>
        </w:rPr>
        <w:t>. Temperature–molar oxygen (</w:t>
      </w:r>
      <w:r w:rsidRPr="00DD54FD">
        <w:rPr>
          <w:rFonts w:ascii="Arial" w:hAnsi="Arial" w:cs="Arial"/>
          <w:i/>
          <w:sz w:val="24"/>
          <w:lang w:val="en-AU"/>
        </w:rPr>
        <w:t>T–M</w:t>
      </w:r>
      <w:r w:rsidRPr="00DD54FD">
        <w:rPr>
          <w:rFonts w:ascii="Arial" w:hAnsi="Arial" w:cs="Arial"/>
          <w:sz w:val="24"/>
          <w:vertAlign w:val="subscript"/>
          <w:lang w:val="en-AU"/>
        </w:rPr>
        <w:t>o</w:t>
      </w:r>
      <w:r w:rsidRPr="00DD54FD">
        <w:rPr>
          <w:rFonts w:ascii="Arial" w:hAnsi="Arial" w:cs="Arial"/>
          <w:sz w:val="24"/>
          <w:lang w:val="en-AU"/>
        </w:rPr>
        <w:t>) models were used to constrain the oxidation state of the system, i.e. the amount of Fe</w:t>
      </w:r>
      <w:r w:rsidRPr="00DD54FD">
        <w:rPr>
          <w:rFonts w:ascii="Arial" w:hAnsi="Arial" w:cs="Arial"/>
          <w:sz w:val="24"/>
          <w:vertAlign w:val="subscript"/>
          <w:lang w:val="en-AU"/>
        </w:rPr>
        <w:t>2</w:t>
      </w:r>
      <w:r w:rsidRPr="00DD54FD">
        <w:rPr>
          <w:rFonts w:ascii="Arial" w:hAnsi="Arial" w:cs="Arial"/>
          <w:sz w:val="24"/>
          <w:lang w:val="en-AU"/>
        </w:rPr>
        <w:t>O</w:t>
      </w:r>
      <w:r w:rsidRPr="00DD54FD">
        <w:rPr>
          <w:rFonts w:ascii="Arial" w:hAnsi="Arial" w:cs="Arial"/>
          <w:sz w:val="24"/>
          <w:vertAlign w:val="subscript"/>
          <w:lang w:val="en-AU"/>
        </w:rPr>
        <w:t>3</w:t>
      </w:r>
      <w:r w:rsidRPr="00DD54FD">
        <w:rPr>
          <w:rFonts w:ascii="Arial" w:hAnsi="Arial" w:cs="Arial"/>
          <w:sz w:val="24"/>
          <w:lang w:val="en-AU"/>
        </w:rPr>
        <w:t xml:space="preserve"> versus </w:t>
      </w:r>
      <w:proofErr w:type="spellStart"/>
      <w:r w:rsidRPr="00DD54FD">
        <w:rPr>
          <w:rFonts w:ascii="Arial" w:hAnsi="Arial" w:cs="Arial"/>
          <w:sz w:val="24"/>
          <w:lang w:val="en-AU"/>
        </w:rPr>
        <w:t>FeO</w:t>
      </w:r>
      <w:proofErr w:type="spellEnd"/>
      <w:r w:rsidRPr="00DD54FD">
        <w:rPr>
          <w:rFonts w:ascii="Arial" w:hAnsi="Arial" w:cs="Arial"/>
          <w:sz w:val="24"/>
          <w:lang w:val="en-AU"/>
        </w:rPr>
        <w:t xml:space="preserve">. The </w:t>
      </w:r>
      <w:r w:rsidRPr="00DD54FD">
        <w:rPr>
          <w:rFonts w:ascii="Arial" w:hAnsi="Arial" w:cs="Arial"/>
          <w:i/>
          <w:sz w:val="24"/>
          <w:lang w:val="en-AU"/>
        </w:rPr>
        <w:t>T–M</w:t>
      </w:r>
      <w:r w:rsidRPr="00DD54FD">
        <w:rPr>
          <w:rFonts w:ascii="Arial" w:hAnsi="Arial" w:cs="Arial"/>
          <w:sz w:val="24"/>
          <w:vertAlign w:val="subscript"/>
          <w:lang w:val="en-AU"/>
        </w:rPr>
        <w:t>o</w:t>
      </w:r>
      <w:r w:rsidRPr="00DD54FD">
        <w:rPr>
          <w:rFonts w:ascii="Arial" w:hAnsi="Arial" w:cs="Arial"/>
          <w:sz w:val="24"/>
          <w:lang w:val="en-AU"/>
        </w:rPr>
        <w:t xml:space="preserve"> models were calculated at a pressure of 3.5 kbar, based on the presence of andalusite within the metasedimentary package. Importantly, the choice of pressure at </w:t>
      </w:r>
      <w:r w:rsidRPr="00DD54FD">
        <w:rPr>
          <w:rFonts w:ascii="Arial" w:hAnsi="Arial" w:cs="Arial"/>
          <w:sz w:val="24"/>
          <w:lang w:val="en-AU"/>
        </w:rPr>
        <w:lastRenderedPageBreak/>
        <w:t xml:space="preserve">which to calculate </w:t>
      </w:r>
      <w:r w:rsidRPr="00DD54FD">
        <w:rPr>
          <w:rFonts w:ascii="Arial" w:hAnsi="Arial" w:cs="Arial"/>
          <w:i/>
          <w:sz w:val="24"/>
          <w:lang w:val="en-AU"/>
        </w:rPr>
        <w:t>T–M</w:t>
      </w:r>
      <w:r w:rsidRPr="00DD54FD">
        <w:rPr>
          <w:rFonts w:ascii="Arial" w:hAnsi="Arial" w:cs="Arial"/>
          <w:sz w:val="24"/>
          <w:vertAlign w:val="subscript"/>
          <w:lang w:val="en-AU"/>
        </w:rPr>
        <w:t>o</w:t>
      </w:r>
      <w:r w:rsidRPr="00DD54FD">
        <w:rPr>
          <w:rFonts w:ascii="Arial" w:hAnsi="Arial" w:cs="Arial"/>
          <w:sz w:val="24"/>
          <w:lang w:val="en-AU"/>
        </w:rPr>
        <w:t xml:space="preserve"> models does not need to </w:t>
      </w:r>
      <w:r>
        <w:rPr>
          <w:rFonts w:ascii="Arial" w:hAnsi="Arial" w:cs="Arial"/>
          <w:sz w:val="24"/>
          <w:lang w:val="en-AU"/>
        </w:rPr>
        <w:t>correspond to the peak pressure (</w:t>
      </w:r>
      <w:r w:rsidRPr="00DD54FD">
        <w:rPr>
          <w:rFonts w:ascii="Arial" w:hAnsi="Arial" w:cs="Arial"/>
          <w:sz w:val="24"/>
          <w:lang w:val="en-AU"/>
        </w:rPr>
        <w:t xml:space="preserve">in part because peak pressure is not constrained until the </w:t>
      </w:r>
      <w:r w:rsidRPr="00DD54FD">
        <w:rPr>
          <w:rFonts w:ascii="Arial" w:hAnsi="Arial" w:cs="Arial"/>
          <w:i/>
          <w:sz w:val="24"/>
          <w:lang w:val="en-AU"/>
        </w:rPr>
        <w:t>P–T</w:t>
      </w:r>
      <w:r>
        <w:rPr>
          <w:rFonts w:ascii="Arial" w:hAnsi="Arial" w:cs="Arial"/>
          <w:sz w:val="24"/>
          <w:lang w:val="en-AU"/>
        </w:rPr>
        <w:t xml:space="preserve"> model is calculated), </w:t>
      </w:r>
      <w:r w:rsidRPr="00DD54FD">
        <w:rPr>
          <w:rFonts w:ascii="Arial" w:hAnsi="Arial" w:cs="Arial"/>
          <w:sz w:val="24"/>
          <w:lang w:val="en-AU"/>
        </w:rPr>
        <w:t xml:space="preserve">but should provide a high chance that the peak assemblage (used to constrain oxidation state) occurs as a field in a given </w:t>
      </w:r>
      <w:r w:rsidRPr="00DD54FD">
        <w:rPr>
          <w:rFonts w:ascii="Arial" w:hAnsi="Arial" w:cs="Arial"/>
          <w:i/>
          <w:sz w:val="24"/>
          <w:lang w:val="en-AU"/>
        </w:rPr>
        <w:t>T–M</w:t>
      </w:r>
      <w:r w:rsidRPr="00DD54FD">
        <w:rPr>
          <w:rFonts w:ascii="Arial" w:hAnsi="Arial" w:cs="Arial"/>
          <w:sz w:val="24"/>
          <w:vertAlign w:val="subscript"/>
          <w:lang w:val="en-AU"/>
        </w:rPr>
        <w:t>o</w:t>
      </w:r>
      <w:r w:rsidRPr="00DD54FD">
        <w:rPr>
          <w:rFonts w:ascii="Arial" w:hAnsi="Arial" w:cs="Arial"/>
          <w:sz w:val="24"/>
          <w:lang w:val="en-AU"/>
        </w:rPr>
        <w:t xml:space="preserve"> model. Subsolidus metamorphism is typically interpreted to involve an aqueous fluid and therefore models were calculated with H</w:t>
      </w:r>
      <w:r w:rsidRPr="00DD54FD">
        <w:rPr>
          <w:rFonts w:ascii="Arial" w:hAnsi="Arial" w:cs="Arial"/>
          <w:sz w:val="24"/>
          <w:vertAlign w:val="subscript"/>
          <w:lang w:val="en-AU"/>
        </w:rPr>
        <w:t>2</w:t>
      </w:r>
      <w:r w:rsidRPr="00DD54FD">
        <w:rPr>
          <w:rFonts w:ascii="Arial" w:hAnsi="Arial" w:cs="Arial"/>
          <w:sz w:val="24"/>
          <w:lang w:val="en-AU"/>
        </w:rPr>
        <w:t>O set in excess.</w:t>
      </w:r>
    </w:p>
    <w:p w14:paraId="10207897" w14:textId="6F6770C0" w:rsidR="00A96285" w:rsidRPr="00D26A43" w:rsidRDefault="00A96285" w:rsidP="006E6431">
      <w:pPr>
        <w:rPr>
          <w:rFonts w:ascii="Arial" w:hAnsi="Arial" w:cs="Arial"/>
          <w:b/>
          <w:i/>
          <w:sz w:val="24"/>
        </w:rPr>
      </w:pPr>
      <w:r w:rsidRPr="00D26A43">
        <w:rPr>
          <w:rFonts w:ascii="Arial" w:hAnsi="Arial" w:cs="Arial"/>
          <w:b/>
          <w:i/>
          <w:sz w:val="24"/>
        </w:rPr>
        <w:t>References</w:t>
      </w:r>
    </w:p>
    <w:p w14:paraId="713D5ED5" w14:textId="2637A29A" w:rsidR="00A96285" w:rsidRPr="00A96285" w:rsidRDefault="00A96285" w:rsidP="00720E2D">
      <w:pPr>
        <w:pStyle w:val="EndNoteBibliography"/>
        <w:spacing w:after="240"/>
      </w:pPr>
      <w:r w:rsidRPr="00A96285">
        <w:t xml:space="preserve">Holland, T. &amp; Powell, R. 1998. An internally consistent thermodynamic data set for phases of petrological interest. </w:t>
      </w:r>
      <w:r w:rsidRPr="00A96285">
        <w:rPr>
          <w:i/>
        </w:rPr>
        <w:t>Journal of Metamorphic Geology</w:t>
      </w:r>
      <w:r w:rsidRPr="00A96285">
        <w:t xml:space="preserve">, </w:t>
      </w:r>
      <w:r w:rsidRPr="00A96285">
        <w:rPr>
          <w:b/>
        </w:rPr>
        <w:t>16</w:t>
      </w:r>
      <w:r w:rsidRPr="00A96285">
        <w:t>, 309-343.</w:t>
      </w:r>
    </w:p>
    <w:p w14:paraId="782525C1" w14:textId="5D1F4010" w:rsidR="00A96285" w:rsidRPr="00A96285" w:rsidRDefault="00A96285" w:rsidP="00720E2D">
      <w:pPr>
        <w:pStyle w:val="EndNoteBibliography"/>
        <w:spacing w:after="240"/>
      </w:pPr>
      <w:r w:rsidRPr="00A96285">
        <w:t xml:space="preserve">Holland, T. &amp; Powell, R. 2011. An improved and extended internally consistent thermodynamic dataset for phases of petrological interest, involving a new equation of state for solids. </w:t>
      </w:r>
      <w:r w:rsidRPr="00A96285">
        <w:rPr>
          <w:i/>
        </w:rPr>
        <w:t>Journal of Metamorphic Geology</w:t>
      </w:r>
      <w:r w:rsidRPr="00A96285">
        <w:t xml:space="preserve">, </w:t>
      </w:r>
      <w:r w:rsidRPr="00A96285">
        <w:rPr>
          <w:b/>
        </w:rPr>
        <w:t>29</w:t>
      </w:r>
      <w:r w:rsidRPr="00A96285">
        <w:t>, 333-383.</w:t>
      </w:r>
    </w:p>
    <w:p w14:paraId="711948DB" w14:textId="79B5E209" w:rsidR="00A96285" w:rsidRPr="00A96285" w:rsidRDefault="00A96285" w:rsidP="00720E2D">
      <w:pPr>
        <w:pStyle w:val="EndNoteBibliography"/>
        <w:spacing w:after="240"/>
      </w:pPr>
      <w:r w:rsidRPr="00A96285">
        <w:t xml:space="preserve">Jackson, S.E., Pearson, N.J., Griffin, W.L. &amp; Belousova, E.A. 2004. The application of laser ablation-inductively coupled plasma-mass spectrometry to in situ U–Pb zircon geochronology. </w:t>
      </w:r>
      <w:r w:rsidRPr="00A96285">
        <w:rPr>
          <w:i/>
        </w:rPr>
        <w:t>Chemical Geology</w:t>
      </w:r>
      <w:r w:rsidRPr="00A96285">
        <w:t xml:space="preserve">, </w:t>
      </w:r>
      <w:r w:rsidRPr="00A96285">
        <w:rPr>
          <w:b/>
        </w:rPr>
        <w:t>211</w:t>
      </w:r>
      <w:r w:rsidRPr="00A96285">
        <w:t>, 47-69.</w:t>
      </w:r>
    </w:p>
    <w:p w14:paraId="6AC2BCC4" w14:textId="77777777" w:rsidR="00A96285" w:rsidRDefault="00A96285" w:rsidP="00720E2D">
      <w:pPr>
        <w:pStyle w:val="EndNoteBibliography"/>
        <w:spacing w:after="240"/>
      </w:pPr>
      <w:r w:rsidRPr="00A96285">
        <w:t xml:space="preserve">Maidment, D.W. 2005. </w:t>
      </w:r>
      <w:r w:rsidRPr="00A96285">
        <w:rPr>
          <w:i/>
        </w:rPr>
        <w:t>Palaeozoic high-grade metamorphism within the Centralian Superbasin, Harts Range region, central Australia.</w:t>
      </w:r>
      <w:r w:rsidRPr="00A96285">
        <w:t xml:space="preserve"> PhD Thesis, Australian National University, Canberra, ACT.</w:t>
      </w:r>
    </w:p>
    <w:p w14:paraId="1C896645" w14:textId="4BD1C4BD" w:rsidR="00A96285" w:rsidRDefault="00720E2D" w:rsidP="00720E2D">
      <w:pPr>
        <w:pStyle w:val="EndNoteBibliography"/>
        <w:spacing w:after="240"/>
      </w:pPr>
      <w:r w:rsidRPr="00720E2D">
        <w:t xml:space="preserve">Nasdala, L., Lengauer, C.L., Hanchar, J.M., Kronz, A., Wirth, R., Blanc, P., Kennedy, A.K. &amp; Seydoux-Guillaume, A.-M. 2002. Annealing radiation damage and the recovery of cathodoluminescence. Chemical Geology, 191, 121-140, </w:t>
      </w:r>
      <w:r w:rsidR="00214835" w:rsidRPr="00214835">
        <w:t>http://doi.org/https://doi.org/10.1016/S0009-2541(02)00152-3</w:t>
      </w:r>
      <w:r w:rsidRPr="00720E2D">
        <w:t>.</w:t>
      </w:r>
    </w:p>
    <w:p w14:paraId="71719460" w14:textId="7C5AB923" w:rsidR="00214835" w:rsidRPr="00A96285" w:rsidRDefault="00214835" w:rsidP="00720E2D">
      <w:pPr>
        <w:pStyle w:val="EndNoteBibliography"/>
        <w:spacing w:after="240"/>
      </w:pPr>
      <w:r w:rsidRPr="00214835">
        <w:t>Orihashi, Y. , Nakai, S. and Hirata, T. (2008), U</w:t>
      </w:r>
      <w:r w:rsidRPr="00214835">
        <w:rPr>
          <w:rFonts w:ascii="Cambria Math" w:hAnsi="Cambria Math" w:cs="Cambria Math"/>
        </w:rPr>
        <w:t>‐</w:t>
      </w:r>
      <w:r w:rsidRPr="00214835">
        <w:t>Pb Age Determination for Seven Standard Zircons using Inductively Coupled Plasma–Mass Spectrometry Coupled with Frequency Quintupled Nd</w:t>
      </w:r>
      <w:r w:rsidRPr="00214835">
        <w:rPr>
          <w:rFonts w:ascii="Cambria Math" w:hAnsi="Cambria Math" w:cs="Cambria Math"/>
        </w:rPr>
        <w:t>‐</w:t>
      </w:r>
      <w:r w:rsidRPr="00214835">
        <w:t>YAG (λ = 213 nm) Laser Ablation System: Comparison with LA</w:t>
      </w:r>
      <w:r w:rsidRPr="00214835">
        <w:rPr>
          <w:rFonts w:ascii="Cambria Math" w:hAnsi="Cambria Math" w:cs="Cambria Math"/>
        </w:rPr>
        <w:t>‐</w:t>
      </w:r>
      <w:r w:rsidRPr="00214835">
        <w:t>ICP</w:t>
      </w:r>
      <w:r w:rsidRPr="00214835">
        <w:rPr>
          <w:rFonts w:ascii="Cambria Math" w:hAnsi="Cambria Math" w:cs="Cambria Math"/>
        </w:rPr>
        <w:t>‐</w:t>
      </w:r>
      <w:r w:rsidRPr="00214835">
        <w:t>MS Zircon Analyses with a NIST Glass Reference Material. Resource Geology, 58: 101-123. doi:10.1111/j.1751-3928.2008.00052.x</w:t>
      </w:r>
    </w:p>
    <w:p w14:paraId="458F9F68" w14:textId="12FA50A5" w:rsidR="00A96285" w:rsidRPr="00A96285" w:rsidRDefault="00A96285" w:rsidP="00720E2D">
      <w:pPr>
        <w:pStyle w:val="EndNoteBibliography"/>
        <w:spacing w:after="240"/>
      </w:pPr>
      <w:r w:rsidRPr="00A96285">
        <w:t xml:space="preserve">Paton, C., Hellstrom, J., Paul, B., Woodhead, J. &amp; Hergt, J. 2011. Iolite: Freeware for the visualisation and processing of mass spectrometric data. </w:t>
      </w:r>
      <w:r w:rsidRPr="00A96285">
        <w:rPr>
          <w:i/>
        </w:rPr>
        <w:t>Journal of Analytical Atomic Spectrometry</w:t>
      </w:r>
      <w:r w:rsidRPr="00A96285">
        <w:t xml:space="preserve">, </w:t>
      </w:r>
      <w:r w:rsidRPr="00A96285">
        <w:rPr>
          <w:b/>
        </w:rPr>
        <w:t>26</w:t>
      </w:r>
      <w:r w:rsidRPr="00A96285">
        <w:t>, 2508-2518, h</w:t>
      </w:r>
      <w:r w:rsidRPr="00DE4EB2">
        <w:t>ttp://doi.org/10.1039/c1ja10172b.</w:t>
      </w:r>
    </w:p>
    <w:p w14:paraId="480C2D55" w14:textId="1EBC0E7C" w:rsidR="00A96285" w:rsidRPr="00A96285" w:rsidRDefault="00A96285" w:rsidP="00720E2D">
      <w:pPr>
        <w:pStyle w:val="EndNoteBibliography"/>
        <w:spacing w:after="240"/>
      </w:pPr>
      <w:r w:rsidRPr="00A96285">
        <w:t xml:space="preserve">Payne, J.L., Hand, M., Barovich, K.M. &amp; Wade, B.P. 2008. Temporal constraints on the timing of high-grade metamorphism in the northern Gawler Craton: Implications for assembly of the Australian Proterozoic. </w:t>
      </w:r>
      <w:r w:rsidRPr="00A96285">
        <w:rPr>
          <w:i/>
        </w:rPr>
        <w:t>Australian Journal of Earth Sciences</w:t>
      </w:r>
      <w:r w:rsidRPr="00A96285">
        <w:t xml:space="preserve">, </w:t>
      </w:r>
      <w:r w:rsidRPr="00A96285">
        <w:rPr>
          <w:b/>
        </w:rPr>
        <w:t>55</w:t>
      </w:r>
      <w:r w:rsidRPr="00A96285">
        <w:t>, 623-640, h</w:t>
      </w:r>
      <w:r w:rsidRPr="00DE4EB2">
        <w:t>ttp://doi.org/10.1080/08120090801982595.</w:t>
      </w:r>
    </w:p>
    <w:p w14:paraId="24FEAF6E" w14:textId="3C408138" w:rsidR="00A96285" w:rsidRPr="00A96285" w:rsidRDefault="00A96285" w:rsidP="00720E2D">
      <w:pPr>
        <w:pStyle w:val="EndNoteBibliography"/>
        <w:spacing w:after="240"/>
      </w:pPr>
      <w:r w:rsidRPr="00A96285">
        <w:t xml:space="preserve">Powell, R., White, R., Green, E., Holland, T. &amp; Diener, J. 2014. On parameterizing thermodynamic descriptions of minerals for petrological calculations. </w:t>
      </w:r>
      <w:r w:rsidRPr="00A96285">
        <w:rPr>
          <w:i/>
        </w:rPr>
        <w:t>Journal of Metamorphic Geology</w:t>
      </w:r>
      <w:r w:rsidRPr="00A96285">
        <w:t xml:space="preserve">, </w:t>
      </w:r>
      <w:r w:rsidRPr="00A96285">
        <w:rPr>
          <w:b/>
        </w:rPr>
        <w:t>32</w:t>
      </w:r>
      <w:r w:rsidRPr="00A96285">
        <w:t>, 245-260.</w:t>
      </w:r>
    </w:p>
    <w:p w14:paraId="36017604" w14:textId="75AB1E8B" w:rsidR="00720E2D" w:rsidRDefault="00A96285" w:rsidP="00720E2D">
      <w:pPr>
        <w:pStyle w:val="EndNoteBibliography"/>
        <w:spacing w:after="240"/>
      </w:pPr>
      <w:r w:rsidRPr="00A96285">
        <w:lastRenderedPageBreak/>
        <w:t>Sláma, J., Košler, J., Condon, D.J., Crowley, J.L., Gerdes, A., Hanchar, J.M., Horstwood, M.S., Morris, G.A.</w:t>
      </w:r>
      <w:r w:rsidRPr="00A96285">
        <w:rPr>
          <w:i/>
        </w:rPr>
        <w:t>, et al.</w:t>
      </w:r>
      <w:r w:rsidRPr="00A96285">
        <w:t xml:space="preserve"> 2008. Plešovice zircon—a new natural reference material for U–Pb and Hf isotopic microanalysis. </w:t>
      </w:r>
      <w:r w:rsidRPr="00A96285">
        <w:rPr>
          <w:i/>
        </w:rPr>
        <w:t>Chemical Geology</w:t>
      </w:r>
      <w:r w:rsidRPr="00A96285">
        <w:t xml:space="preserve">, </w:t>
      </w:r>
      <w:r w:rsidRPr="00A96285">
        <w:rPr>
          <w:b/>
        </w:rPr>
        <w:t>249</w:t>
      </w:r>
      <w:r w:rsidRPr="00A96285">
        <w:t>, 1-35.</w:t>
      </w:r>
    </w:p>
    <w:p w14:paraId="6FEE6500" w14:textId="28B4AA99" w:rsidR="00A96285" w:rsidRPr="00A96285" w:rsidRDefault="00720E2D" w:rsidP="00720E2D">
      <w:pPr>
        <w:pStyle w:val="EndNoteBibliography"/>
        <w:spacing w:after="240"/>
      </w:pPr>
      <w:r w:rsidRPr="00720E2D">
        <w:t>Solari, L.A., Ortega-Obregón, C. &amp; Bernal, J.P. 2015. U–Pb zircon geochronology by LAICPMS combined with thermal annealing: Achievements in precision and accuracy on dating standard and unknown samples. Chemical Geology, 414, 109-123, http://doi.org/https://doi.org/10.1016/j.chemgeo.2015.09.008.</w:t>
      </w:r>
    </w:p>
    <w:p w14:paraId="46088C5D" w14:textId="16E9D9AA" w:rsidR="00A96285" w:rsidRPr="00A96285" w:rsidRDefault="00A96285" w:rsidP="00720E2D">
      <w:pPr>
        <w:pStyle w:val="EndNoteBibliography"/>
        <w:spacing w:after="240"/>
      </w:pPr>
      <w:r w:rsidRPr="00A96285">
        <w:t xml:space="preserve">White, R.W., Powell, R. &amp; Johnson, T.E. 2014b. The effect of Mn on mineral stability in metapelites revisited: New a-x relations for manganese-bearing minerals. </w:t>
      </w:r>
      <w:r w:rsidRPr="00A96285">
        <w:rPr>
          <w:i/>
        </w:rPr>
        <w:t>Journal of Metamorphic Geology</w:t>
      </w:r>
      <w:r w:rsidRPr="00A96285">
        <w:t xml:space="preserve">, </w:t>
      </w:r>
      <w:r w:rsidRPr="00A96285">
        <w:rPr>
          <w:b/>
        </w:rPr>
        <w:t>32</w:t>
      </w:r>
      <w:r w:rsidRPr="00A96285">
        <w:t>, 809-828, h</w:t>
      </w:r>
      <w:r w:rsidRPr="00DE4EB2">
        <w:t>ttp://doi.org/10.1111/jmg.12095.</w:t>
      </w:r>
    </w:p>
    <w:p w14:paraId="408BC669" w14:textId="37CB2D6C" w:rsidR="00A96285" w:rsidRPr="00A96285" w:rsidRDefault="00A96285" w:rsidP="00720E2D">
      <w:pPr>
        <w:pStyle w:val="EndNoteBibliography"/>
        <w:spacing w:after="240"/>
      </w:pPr>
      <w:r w:rsidRPr="00A96285">
        <w:t xml:space="preserve">White, R.W., Powell, R., Holland, T.J.B., Johnson, T.E. &amp; Green, E.C.R. 2014a. New mineral activity-composition relations for thermodynamic calculations in metapelitic systems. </w:t>
      </w:r>
      <w:r w:rsidRPr="00A96285">
        <w:rPr>
          <w:i/>
        </w:rPr>
        <w:t>Journal of Metamorphic Geology</w:t>
      </w:r>
      <w:r w:rsidRPr="00A96285">
        <w:t xml:space="preserve">, </w:t>
      </w:r>
      <w:r w:rsidRPr="00A96285">
        <w:rPr>
          <w:b/>
        </w:rPr>
        <w:t>32</w:t>
      </w:r>
      <w:r w:rsidRPr="00A96285">
        <w:t xml:space="preserve">, 261-286, </w:t>
      </w:r>
      <w:r w:rsidRPr="00DE4EB2">
        <w:t>http://doi.org/10.1111/jmg.12071</w:t>
      </w:r>
      <w:r w:rsidRPr="00A96285">
        <w:t>.</w:t>
      </w:r>
    </w:p>
    <w:p w14:paraId="4629CFD8" w14:textId="77777777" w:rsidR="00A96285" w:rsidRPr="00A96285" w:rsidRDefault="00A96285" w:rsidP="00720E2D">
      <w:pPr>
        <w:pStyle w:val="EndNoteBibliography"/>
        <w:spacing w:after="240"/>
      </w:pPr>
      <w:r w:rsidRPr="00A96285">
        <w:t>Wiedenbeck, M., Alle, P., Corfu, F., Griffin, W., Meier, M., Oberli, F.v., Quadt, A.v., Roddick, J.</w:t>
      </w:r>
      <w:r w:rsidRPr="00A96285">
        <w:rPr>
          <w:i/>
        </w:rPr>
        <w:t>, et al.</w:t>
      </w:r>
      <w:r w:rsidRPr="00A96285">
        <w:t xml:space="preserve"> 1995. Three natural zircon standards for U</w:t>
      </w:r>
      <w:r w:rsidRPr="00A96285">
        <w:rPr>
          <w:rFonts w:ascii="Cambria Math" w:hAnsi="Cambria Math" w:cs="Cambria Math"/>
        </w:rPr>
        <w:t>‐</w:t>
      </w:r>
      <w:r w:rsidRPr="00A96285">
        <w:t>Th</w:t>
      </w:r>
      <w:r w:rsidRPr="00A96285">
        <w:rPr>
          <w:rFonts w:ascii="Cambria Math" w:hAnsi="Cambria Math" w:cs="Cambria Math"/>
        </w:rPr>
        <w:t>‐</w:t>
      </w:r>
      <w:r w:rsidRPr="00A96285">
        <w:t>Pb, Lu</w:t>
      </w:r>
      <w:r w:rsidRPr="00A96285">
        <w:rPr>
          <w:rFonts w:ascii="Cambria Math" w:hAnsi="Cambria Math" w:cs="Cambria Math"/>
        </w:rPr>
        <w:t>‐</w:t>
      </w:r>
      <w:r w:rsidRPr="00A96285">
        <w:t xml:space="preserve">Hf, trace element and REE analyses. </w:t>
      </w:r>
      <w:r w:rsidRPr="00A96285">
        <w:rPr>
          <w:i/>
        </w:rPr>
        <w:t>Geostandards and Geoanalytical Research</w:t>
      </w:r>
      <w:r w:rsidRPr="00A96285">
        <w:t xml:space="preserve">, </w:t>
      </w:r>
      <w:r w:rsidRPr="00A96285">
        <w:rPr>
          <w:b/>
        </w:rPr>
        <w:t>19</w:t>
      </w:r>
      <w:r w:rsidRPr="00A96285">
        <w:t>, 1-23.</w:t>
      </w:r>
    </w:p>
    <w:p w14:paraId="14B09C11" w14:textId="72A2801F" w:rsidR="00DE4EB2" w:rsidRDefault="00DE4EB2">
      <w:pPr>
        <w:rPr>
          <w:rFonts w:ascii="Arial" w:hAnsi="Arial" w:cs="Arial"/>
          <w:noProof/>
          <w:sz w:val="24"/>
        </w:rPr>
      </w:pPr>
      <w:r>
        <w:br w:type="page"/>
      </w:r>
    </w:p>
    <w:p w14:paraId="142F9F43" w14:textId="77777777" w:rsidR="00DE4EB2" w:rsidRPr="00DE4EB2" w:rsidRDefault="00DE4EB2" w:rsidP="00DE4EB2">
      <w:pPr>
        <w:rPr>
          <w:rFonts w:ascii="Arial" w:hAnsi="Arial" w:cs="Arial"/>
          <w:b/>
          <w:i/>
          <w:sz w:val="24"/>
        </w:rPr>
      </w:pPr>
      <w:r w:rsidRPr="00DE4EB2">
        <w:rPr>
          <w:rFonts w:ascii="Arial" w:hAnsi="Arial" w:cs="Arial"/>
          <w:b/>
          <w:sz w:val="24"/>
        </w:rPr>
        <w:lastRenderedPageBreak/>
        <w:t>Appendix B: Mineral chemistry results</w:t>
      </w:r>
    </w:p>
    <w:p w14:paraId="01FD8C82" w14:textId="7DD1B005" w:rsidR="00DE4EB2" w:rsidRPr="00DE4EB2" w:rsidRDefault="00DE4EB2" w:rsidP="00DE4EB2">
      <w:pPr>
        <w:spacing w:line="276" w:lineRule="auto"/>
        <w:rPr>
          <w:rFonts w:ascii="Arial" w:hAnsi="Arial" w:cs="Arial"/>
          <w:sz w:val="24"/>
          <w:lang w:val="en-AU"/>
        </w:rPr>
      </w:pPr>
      <w:r w:rsidRPr="00DE4EB2">
        <w:rPr>
          <w:rFonts w:ascii="Arial" w:hAnsi="Arial" w:cs="Arial"/>
          <w:sz w:val="24"/>
          <w:lang w:val="en-AU"/>
        </w:rPr>
        <w:t xml:space="preserve">Representative electron microprobe mineral analyses are presented in </w:t>
      </w:r>
      <w:r w:rsidR="00480EC6">
        <w:rPr>
          <w:rFonts w:ascii="Arial" w:hAnsi="Arial" w:cs="Arial"/>
          <w:sz w:val="24"/>
          <w:lang w:val="en-AU"/>
        </w:rPr>
        <w:t xml:space="preserve">Supplementary Data </w:t>
      </w:r>
      <w:r w:rsidR="00F05BC9">
        <w:rPr>
          <w:rFonts w:ascii="Arial" w:hAnsi="Arial" w:cs="Arial"/>
          <w:sz w:val="24"/>
          <w:lang w:val="en-AU"/>
        </w:rPr>
        <w:t>Table</w:t>
      </w:r>
      <w:r w:rsidRPr="00DE4EB2">
        <w:rPr>
          <w:rFonts w:ascii="Arial" w:hAnsi="Arial" w:cs="Arial"/>
          <w:sz w:val="24"/>
          <w:lang w:val="en-AU"/>
        </w:rPr>
        <w:t xml:space="preserve"> </w:t>
      </w:r>
      <w:r w:rsidR="00B10088">
        <w:rPr>
          <w:rFonts w:ascii="Arial" w:hAnsi="Arial" w:cs="Arial"/>
          <w:sz w:val="24"/>
          <w:lang w:val="en-AU"/>
        </w:rPr>
        <w:t>4</w:t>
      </w:r>
      <w:r w:rsidRPr="00DE4EB2">
        <w:rPr>
          <w:rFonts w:ascii="Arial" w:hAnsi="Arial" w:cs="Arial"/>
          <w:sz w:val="24"/>
          <w:lang w:val="en-AU"/>
        </w:rPr>
        <w:t xml:space="preserve"> and </w:t>
      </w:r>
      <w:r w:rsidR="00F05BC9">
        <w:rPr>
          <w:rFonts w:ascii="Arial" w:hAnsi="Arial" w:cs="Arial"/>
          <w:sz w:val="24"/>
          <w:lang w:val="en-AU"/>
        </w:rPr>
        <w:t>summarised below</w:t>
      </w:r>
      <w:r w:rsidRPr="00DE4EB2">
        <w:rPr>
          <w:rFonts w:ascii="Arial" w:hAnsi="Arial" w:cs="Arial"/>
          <w:sz w:val="24"/>
          <w:lang w:val="en-AU"/>
        </w:rPr>
        <w:t>.</w:t>
      </w:r>
    </w:p>
    <w:p w14:paraId="77040F6B" w14:textId="77777777" w:rsidR="00DE4EB2" w:rsidRPr="00D26A43" w:rsidRDefault="00DE4EB2" w:rsidP="00DE4EB2">
      <w:pPr>
        <w:spacing w:line="276" w:lineRule="auto"/>
        <w:rPr>
          <w:rFonts w:ascii="Arial" w:hAnsi="Arial" w:cs="Arial"/>
          <w:b/>
          <w:i/>
          <w:sz w:val="24"/>
          <w:lang w:val="en-AU"/>
        </w:rPr>
      </w:pPr>
      <w:r w:rsidRPr="00D26A43">
        <w:rPr>
          <w:rFonts w:ascii="Arial" w:hAnsi="Arial" w:cs="Arial"/>
          <w:b/>
          <w:i/>
          <w:sz w:val="24"/>
          <w:lang w:val="en-AU"/>
        </w:rPr>
        <w:t>Garnet</w:t>
      </w:r>
    </w:p>
    <w:p w14:paraId="71D084EA" w14:textId="77777777" w:rsidR="00DE4EB2" w:rsidRPr="00DE4EB2" w:rsidRDefault="00DE4EB2" w:rsidP="00DE4EB2">
      <w:pPr>
        <w:spacing w:line="276" w:lineRule="auto"/>
        <w:rPr>
          <w:rFonts w:ascii="Arial" w:hAnsi="Arial" w:cs="Arial"/>
          <w:sz w:val="24"/>
          <w:lang w:val="en-AU"/>
        </w:rPr>
      </w:pPr>
      <w:r w:rsidRPr="00DE4EB2">
        <w:rPr>
          <w:rFonts w:ascii="Arial" w:hAnsi="Arial" w:cs="Arial"/>
          <w:sz w:val="24"/>
          <w:lang w:val="en-AU"/>
        </w:rPr>
        <w:t xml:space="preserve">Garnet grains in sample 53815 are predominantly almandine–spessartine mixtures with </w:t>
      </w:r>
      <w:proofErr w:type="spellStart"/>
      <w:r w:rsidRPr="00DE4EB2">
        <w:rPr>
          <w:rFonts w:ascii="Arial" w:hAnsi="Arial" w:cs="Arial"/>
          <w:i/>
          <w:sz w:val="24"/>
          <w:lang w:val="en-AU"/>
        </w:rPr>
        <w:t>X</w:t>
      </w:r>
      <w:r w:rsidRPr="00DE4EB2">
        <w:rPr>
          <w:rFonts w:ascii="Arial" w:hAnsi="Arial" w:cs="Arial"/>
          <w:sz w:val="24"/>
          <w:vertAlign w:val="subscript"/>
          <w:lang w:val="en-AU"/>
        </w:rPr>
        <w:t>alm</w:t>
      </w:r>
      <w:proofErr w:type="spellEnd"/>
      <w:r w:rsidRPr="00DE4EB2">
        <w:rPr>
          <w:rFonts w:ascii="Arial" w:hAnsi="Arial" w:cs="Arial"/>
          <w:sz w:val="24"/>
          <w:lang w:val="en-AU"/>
        </w:rPr>
        <w:t xml:space="preserve"> [Fe</w:t>
      </w:r>
      <w:r w:rsidRPr="00DE4EB2">
        <w:rPr>
          <w:rFonts w:ascii="Arial" w:hAnsi="Arial" w:cs="Arial"/>
          <w:sz w:val="24"/>
          <w:vertAlign w:val="superscript"/>
          <w:lang w:val="en-AU"/>
        </w:rPr>
        <w:t>2+</w:t>
      </w:r>
      <w:proofErr w:type="gramStart"/>
      <w:r w:rsidRPr="00DE4EB2">
        <w:rPr>
          <w:rFonts w:ascii="Arial" w:hAnsi="Arial" w:cs="Arial"/>
          <w:sz w:val="24"/>
          <w:lang w:val="en-AU"/>
        </w:rPr>
        <w:t>/(</w:t>
      </w:r>
      <w:proofErr w:type="gramEnd"/>
      <w:r w:rsidRPr="00DE4EB2">
        <w:rPr>
          <w:rFonts w:ascii="Arial" w:hAnsi="Arial" w:cs="Arial"/>
          <w:sz w:val="24"/>
          <w:lang w:val="en-AU"/>
        </w:rPr>
        <w:t>Fe</w:t>
      </w:r>
      <w:r w:rsidRPr="00DE4EB2">
        <w:rPr>
          <w:rFonts w:ascii="Arial" w:hAnsi="Arial" w:cs="Arial"/>
          <w:sz w:val="24"/>
          <w:vertAlign w:val="superscript"/>
          <w:lang w:val="en-AU"/>
        </w:rPr>
        <w:t>2+</w:t>
      </w:r>
      <w:r w:rsidRPr="00DE4EB2">
        <w:rPr>
          <w:rFonts w:ascii="Arial" w:hAnsi="Arial" w:cs="Arial"/>
          <w:sz w:val="24"/>
          <w:lang w:val="en-AU"/>
        </w:rPr>
        <w:t xml:space="preserve"> + Mg + Ca + Mn)] varying between 0.701–0.703 and </w:t>
      </w:r>
      <w:proofErr w:type="spellStart"/>
      <w:r w:rsidRPr="00DE4EB2">
        <w:rPr>
          <w:rFonts w:ascii="Arial" w:hAnsi="Arial" w:cs="Arial"/>
          <w:i/>
          <w:sz w:val="24"/>
          <w:lang w:val="en-AU"/>
        </w:rPr>
        <w:t>X</w:t>
      </w:r>
      <w:r w:rsidRPr="00DE4EB2">
        <w:rPr>
          <w:rFonts w:ascii="Arial" w:hAnsi="Arial" w:cs="Arial"/>
          <w:sz w:val="24"/>
          <w:vertAlign w:val="subscript"/>
          <w:lang w:val="en-AU"/>
        </w:rPr>
        <w:t>sps</w:t>
      </w:r>
      <w:proofErr w:type="spellEnd"/>
      <w:r w:rsidRPr="00DE4EB2">
        <w:rPr>
          <w:rFonts w:ascii="Arial" w:hAnsi="Arial" w:cs="Arial"/>
          <w:sz w:val="24"/>
          <w:lang w:val="en-AU"/>
        </w:rPr>
        <w:t xml:space="preserve"> [Mn/(Fe</w:t>
      </w:r>
      <w:r w:rsidRPr="00DE4EB2">
        <w:rPr>
          <w:rFonts w:ascii="Arial" w:hAnsi="Arial" w:cs="Arial"/>
          <w:sz w:val="24"/>
          <w:vertAlign w:val="superscript"/>
          <w:lang w:val="en-AU"/>
        </w:rPr>
        <w:t>2+</w:t>
      </w:r>
      <w:r w:rsidRPr="00DE4EB2">
        <w:rPr>
          <w:rFonts w:ascii="Arial" w:hAnsi="Arial" w:cs="Arial"/>
          <w:sz w:val="24"/>
          <w:lang w:val="en-AU"/>
        </w:rPr>
        <w:t xml:space="preserve"> + Mg + Ca + Mn)] values of 0.168–0.169. </w:t>
      </w:r>
      <w:proofErr w:type="spellStart"/>
      <w:r w:rsidRPr="00DE4EB2">
        <w:rPr>
          <w:rFonts w:ascii="Arial" w:hAnsi="Arial" w:cs="Arial"/>
          <w:i/>
          <w:sz w:val="24"/>
          <w:lang w:val="en-AU"/>
        </w:rPr>
        <w:t>X</w:t>
      </w:r>
      <w:r w:rsidRPr="00DE4EB2">
        <w:rPr>
          <w:rFonts w:ascii="Arial" w:hAnsi="Arial" w:cs="Arial"/>
          <w:sz w:val="24"/>
          <w:vertAlign w:val="subscript"/>
          <w:lang w:val="en-AU"/>
        </w:rPr>
        <w:t>grs</w:t>
      </w:r>
      <w:proofErr w:type="spellEnd"/>
      <w:r w:rsidRPr="00DE4EB2">
        <w:rPr>
          <w:rFonts w:ascii="Arial" w:hAnsi="Arial" w:cs="Arial"/>
          <w:sz w:val="24"/>
          <w:lang w:val="en-AU"/>
        </w:rPr>
        <w:t xml:space="preserve"> [Ca</w:t>
      </w:r>
      <w:proofErr w:type="gramStart"/>
      <w:r w:rsidRPr="00DE4EB2">
        <w:rPr>
          <w:rFonts w:ascii="Arial" w:hAnsi="Arial" w:cs="Arial"/>
          <w:sz w:val="24"/>
          <w:lang w:val="en-AU"/>
        </w:rPr>
        <w:t>/(</w:t>
      </w:r>
      <w:proofErr w:type="gramEnd"/>
      <w:r w:rsidRPr="00DE4EB2">
        <w:rPr>
          <w:rFonts w:ascii="Arial" w:hAnsi="Arial" w:cs="Arial"/>
          <w:sz w:val="24"/>
          <w:lang w:val="en-AU"/>
        </w:rPr>
        <w:t>Fe</w:t>
      </w:r>
      <w:r w:rsidRPr="00DE4EB2">
        <w:rPr>
          <w:rFonts w:ascii="Arial" w:hAnsi="Arial" w:cs="Arial"/>
          <w:sz w:val="24"/>
          <w:vertAlign w:val="subscript"/>
          <w:lang w:val="en-AU"/>
        </w:rPr>
        <w:t>2+</w:t>
      </w:r>
      <w:r w:rsidRPr="00DE4EB2">
        <w:rPr>
          <w:rFonts w:ascii="Arial" w:hAnsi="Arial" w:cs="Arial"/>
          <w:sz w:val="24"/>
          <w:lang w:val="en-AU"/>
        </w:rPr>
        <w:t xml:space="preserve"> + Mg + Ca + Mn)] varies from 0.043– 0.038 and </w:t>
      </w:r>
      <w:proofErr w:type="spellStart"/>
      <w:r w:rsidRPr="00DE4EB2">
        <w:rPr>
          <w:rFonts w:ascii="Arial" w:hAnsi="Arial" w:cs="Arial"/>
          <w:i/>
          <w:sz w:val="24"/>
          <w:lang w:val="en-AU"/>
        </w:rPr>
        <w:t>X</w:t>
      </w:r>
      <w:r w:rsidRPr="00DE4EB2">
        <w:rPr>
          <w:rFonts w:ascii="Arial" w:hAnsi="Arial" w:cs="Arial"/>
          <w:sz w:val="24"/>
          <w:vertAlign w:val="subscript"/>
          <w:lang w:val="en-AU"/>
        </w:rPr>
        <w:t>py</w:t>
      </w:r>
      <w:proofErr w:type="spellEnd"/>
      <w:r w:rsidRPr="00DE4EB2">
        <w:rPr>
          <w:rFonts w:ascii="Arial" w:hAnsi="Arial" w:cs="Arial"/>
          <w:sz w:val="24"/>
          <w:lang w:val="en-AU"/>
        </w:rPr>
        <w:t xml:space="preserve"> [Mg/(Fe2+ + Mg + Ca + Mn)] from 0.087 to 0.078.</w:t>
      </w:r>
    </w:p>
    <w:p w14:paraId="6787FE51" w14:textId="77777777" w:rsidR="00DE4EB2" w:rsidRPr="00DE4EB2" w:rsidRDefault="00DE4EB2" w:rsidP="00DE4EB2">
      <w:pPr>
        <w:spacing w:line="276" w:lineRule="auto"/>
        <w:rPr>
          <w:rFonts w:ascii="Arial" w:hAnsi="Arial" w:cs="Arial"/>
          <w:sz w:val="24"/>
          <w:lang w:val="en-AU"/>
        </w:rPr>
      </w:pPr>
      <w:r w:rsidRPr="00DE4EB2">
        <w:rPr>
          <w:rFonts w:ascii="Arial" w:hAnsi="Arial" w:cs="Arial"/>
          <w:sz w:val="24"/>
          <w:lang w:val="en-AU"/>
        </w:rPr>
        <w:t xml:space="preserve">Garnet grains in sample 53816 are predominantly almandine–spessartine mixtures with </w:t>
      </w:r>
      <w:proofErr w:type="spellStart"/>
      <w:r w:rsidRPr="00DE4EB2">
        <w:rPr>
          <w:rFonts w:ascii="Arial" w:hAnsi="Arial" w:cs="Arial"/>
          <w:i/>
          <w:sz w:val="24"/>
          <w:lang w:val="en-AU"/>
        </w:rPr>
        <w:t>X</w:t>
      </w:r>
      <w:r w:rsidRPr="00DE4EB2">
        <w:rPr>
          <w:rFonts w:ascii="Arial" w:hAnsi="Arial" w:cs="Arial"/>
          <w:sz w:val="24"/>
          <w:vertAlign w:val="subscript"/>
          <w:lang w:val="en-AU"/>
        </w:rPr>
        <w:t>alm</w:t>
      </w:r>
      <w:proofErr w:type="spellEnd"/>
      <w:r w:rsidRPr="00DE4EB2">
        <w:rPr>
          <w:rFonts w:ascii="Arial" w:hAnsi="Arial" w:cs="Arial"/>
          <w:sz w:val="24"/>
          <w:lang w:val="en-AU"/>
        </w:rPr>
        <w:t xml:space="preserve"> varying between 0.730–0.656 and </w:t>
      </w:r>
      <w:proofErr w:type="spellStart"/>
      <w:r w:rsidRPr="00DE4EB2">
        <w:rPr>
          <w:rFonts w:ascii="Arial" w:hAnsi="Arial" w:cs="Arial"/>
          <w:i/>
          <w:sz w:val="24"/>
          <w:lang w:val="en-AU"/>
        </w:rPr>
        <w:t>X</w:t>
      </w:r>
      <w:r w:rsidRPr="00DE4EB2">
        <w:rPr>
          <w:rFonts w:ascii="Arial" w:hAnsi="Arial" w:cs="Arial"/>
          <w:sz w:val="24"/>
          <w:vertAlign w:val="subscript"/>
          <w:lang w:val="en-AU"/>
        </w:rPr>
        <w:t>sps</w:t>
      </w:r>
      <w:proofErr w:type="spellEnd"/>
      <w:r w:rsidRPr="00DE4EB2">
        <w:rPr>
          <w:rFonts w:ascii="Arial" w:hAnsi="Arial" w:cs="Arial"/>
          <w:sz w:val="24"/>
          <w:lang w:val="en-AU"/>
        </w:rPr>
        <w:t xml:space="preserve"> between 0.179–0.134. </w:t>
      </w:r>
      <w:proofErr w:type="spellStart"/>
      <w:r w:rsidRPr="00DE4EB2">
        <w:rPr>
          <w:rFonts w:ascii="Arial" w:hAnsi="Arial" w:cs="Arial"/>
          <w:i/>
          <w:sz w:val="24"/>
          <w:lang w:val="en-AU"/>
        </w:rPr>
        <w:t>X</w:t>
      </w:r>
      <w:r w:rsidRPr="00DE4EB2">
        <w:rPr>
          <w:rFonts w:ascii="Arial" w:hAnsi="Arial" w:cs="Arial"/>
          <w:sz w:val="24"/>
          <w:vertAlign w:val="subscript"/>
          <w:lang w:val="en-AU"/>
        </w:rPr>
        <w:t>grs</w:t>
      </w:r>
      <w:proofErr w:type="spellEnd"/>
      <w:r w:rsidRPr="00DE4EB2">
        <w:rPr>
          <w:rFonts w:ascii="Arial" w:hAnsi="Arial" w:cs="Arial"/>
          <w:sz w:val="24"/>
          <w:lang w:val="en-AU"/>
        </w:rPr>
        <w:t xml:space="preserve"> varies from 0.033–0.069 and </w:t>
      </w:r>
      <w:proofErr w:type="spellStart"/>
      <w:r w:rsidRPr="00DE4EB2">
        <w:rPr>
          <w:rFonts w:ascii="Arial" w:hAnsi="Arial" w:cs="Arial"/>
          <w:i/>
          <w:sz w:val="24"/>
          <w:lang w:val="en-AU"/>
        </w:rPr>
        <w:t>X</w:t>
      </w:r>
      <w:r w:rsidRPr="00DE4EB2">
        <w:rPr>
          <w:rFonts w:ascii="Arial" w:hAnsi="Arial" w:cs="Arial"/>
          <w:sz w:val="24"/>
          <w:vertAlign w:val="subscript"/>
          <w:lang w:val="en-AU"/>
        </w:rPr>
        <w:t>py</w:t>
      </w:r>
      <w:proofErr w:type="spellEnd"/>
      <w:r w:rsidRPr="00DE4EB2">
        <w:rPr>
          <w:rFonts w:ascii="Arial" w:hAnsi="Arial" w:cs="Arial"/>
          <w:sz w:val="24"/>
          <w:lang w:val="en-AU"/>
        </w:rPr>
        <w:t xml:space="preserve"> from 0.103–0.112.</w:t>
      </w:r>
    </w:p>
    <w:p w14:paraId="67344643" w14:textId="77777777" w:rsidR="00DE4EB2" w:rsidRPr="00D26A43" w:rsidRDefault="00DE4EB2" w:rsidP="00DE4EB2">
      <w:pPr>
        <w:spacing w:line="276" w:lineRule="auto"/>
        <w:rPr>
          <w:rFonts w:ascii="Arial" w:hAnsi="Arial" w:cs="Arial"/>
          <w:b/>
          <w:i/>
          <w:sz w:val="24"/>
          <w:lang w:val="en-AU"/>
        </w:rPr>
      </w:pPr>
      <w:r w:rsidRPr="00D26A43">
        <w:rPr>
          <w:rFonts w:ascii="Arial" w:hAnsi="Arial" w:cs="Arial"/>
          <w:b/>
          <w:i/>
          <w:sz w:val="24"/>
          <w:lang w:val="en-AU"/>
        </w:rPr>
        <w:t>Biotite</w:t>
      </w:r>
    </w:p>
    <w:p w14:paraId="5B785433" w14:textId="77777777" w:rsidR="00DE4EB2" w:rsidRPr="00DE4EB2" w:rsidRDefault="00DE4EB2" w:rsidP="00DE4EB2">
      <w:pPr>
        <w:spacing w:line="276" w:lineRule="auto"/>
        <w:rPr>
          <w:rFonts w:ascii="Arial" w:hAnsi="Arial" w:cs="Arial"/>
          <w:sz w:val="24"/>
          <w:lang w:val="en-AU"/>
        </w:rPr>
      </w:pPr>
      <w:r w:rsidRPr="00DE4EB2">
        <w:rPr>
          <w:rFonts w:ascii="Arial" w:hAnsi="Arial" w:cs="Arial"/>
          <w:sz w:val="24"/>
          <w:lang w:val="en-AU"/>
        </w:rPr>
        <w:t>Biotite in both samples has relatively similar TiO</w:t>
      </w:r>
      <w:r w:rsidRPr="00DE4EB2">
        <w:rPr>
          <w:rFonts w:ascii="Arial" w:hAnsi="Arial" w:cs="Arial"/>
          <w:sz w:val="24"/>
          <w:vertAlign w:val="subscript"/>
          <w:lang w:val="en-AU"/>
        </w:rPr>
        <w:t>2</w:t>
      </w:r>
      <w:r w:rsidRPr="00DE4EB2">
        <w:rPr>
          <w:rFonts w:ascii="Arial" w:hAnsi="Arial" w:cs="Arial"/>
          <w:sz w:val="24"/>
          <w:lang w:val="en-AU"/>
        </w:rPr>
        <w:t xml:space="preserve"> content of 1.19–1.82 wt%. Fluorine content varies between 0.03–0.16 wt%, with biotite in sample 53815 having the lowest fluorine content of 0.03–0.08 wt%. </w:t>
      </w:r>
    </w:p>
    <w:p w14:paraId="32431CE4" w14:textId="77777777" w:rsidR="00DE4EB2" w:rsidRPr="00D26A43" w:rsidRDefault="00DE4EB2" w:rsidP="00DE4EB2">
      <w:pPr>
        <w:spacing w:line="276" w:lineRule="auto"/>
        <w:rPr>
          <w:rFonts w:ascii="Arial" w:hAnsi="Arial" w:cs="Arial"/>
          <w:b/>
          <w:i/>
          <w:sz w:val="24"/>
          <w:lang w:val="en-AU"/>
        </w:rPr>
      </w:pPr>
      <w:r w:rsidRPr="00D26A43">
        <w:rPr>
          <w:rFonts w:ascii="Arial" w:hAnsi="Arial" w:cs="Arial"/>
          <w:b/>
          <w:i/>
          <w:sz w:val="24"/>
          <w:lang w:val="en-AU"/>
        </w:rPr>
        <w:t>Chlorite</w:t>
      </w:r>
    </w:p>
    <w:p w14:paraId="53B8340A" w14:textId="77777777" w:rsidR="00DE4EB2" w:rsidRPr="00DE4EB2" w:rsidRDefault="00DE4EB2" w:rsidP="00DE4EB2">
      <w:pPr>
        <w:spacing w:line="276" w:lineRule="auto"/>
        <w:rPr>
          <w:rFonts w:ascii="Arial" w:hAnsi="Arial" w:cs="Arial"/>
          <w:sz w:val="24"/>
          <w:lang w:val="en-AU"/>
        </w:rPr>
      </w:pPr>
      <w:r w:rsidRPr="00DE4EB2">
        <w:rPr>
          <w:rFonts w:ascii="Arial" w:hAnsi="Arial" w:cs="Arial"/>
          <w:sz w:val="24"/>
          <w:lang w:val="en-AU"/>
        </w:rPr>
        <w:t xml:space="preserve">Chlorite in sample 53815 has </w:t>
      </w:r>
      <w:proofErr w:type="spellStart"/>
      <w:r w:rsidRPr="00DE4EB2">
        <w:rPr>
          <w:rFonts w:ascii="Arial" w:hAnsi="Arial" w:cs="Arial"/>
          <w:i/>
          <w:sz w:val="24"/>
          <w:lang w:val="en-AU"/>
        </w:rPr>
        <w:t>X</w:t>
      </w:r>
      <w:r w:rsidRPr="00DE4EB2">
        <w:rPr>
          <w:rFonts w:ascii="Arial" w:hAnsi="Arial" w:cs="Arial"/>
          <w:sz w:val="24"/>
          <w:vertAlign w:val="subscript"/>
          <w:lang w:val="en-AU"/>
        </w:rPr>
        <w:t>Fe</w:t>
      </w:r>
      <w:proofErr w:type="spellEnd"/>
      <w:r w:rsidRPr="00DE4EB2">
        <w:rPr>
          <w:rFonts w:ascii="Arial" w:hAnsi="Arial" w:cs="Arial"/>
          <w:sz w:val="24"/>
          <w:lang w:val="en-AU"/>
        </w:rPr>
        <w:t xml:space="preserve"> [Fe</w:t>
      </w:r>
      <w:r w:rsidRPr="00DE4EB2">
        <w:rPr>
          <w:rFonts w:ascii="Arial" w:hAnsi="Arial" w:cs="Arial"/>
          <w:sz w:val="24"/>
          <w:vertAlign w:val="superscript"/>
          <w:lang w:val="en-AU"/>
        </w:rPr>
        <w:t>2+</w:t>
      </w:r>
      <w:proofErr w:type="gramStart"/>
      <w:r w:rsidRPr="00DE4EB2">
        <w:rPr>
          <w:rFonts w:ascii="Arial" w:hAnsi="Arial" w:cs="Arial"/>
          <w:sz w:val="24"/>
          <w:lang w:val="en-AU"/>
        </w:rPr>
        <w:t>/(</w:t>
      </w:r>
      <w:proofErr w:type="gramEnd"/>
      <w:r w:rsidRPr="00DE4EB2">
        <w:rPr>
          <w:rFonts w:ascii="Arial" w:hAnsi="Arial" w:cs="Arial"/>
          <w:sz w:val="24"/>
          <w:lang w:val="en-AU"/>
        </w:rPr>
        <w:t>Fe</w:t>
      </w:r>
      <w:r w:rsidRPr="00DE4EB2">
        <w:rPr>
          <w:rFonts w:ascii="Arial" w:hAnsi="Arial" w:cs="Arial"/>
          <w:sz w:val="24"/>
          <w:vertAlign w:val="superscript"/>
          <w:lang w:val="en-AU"/>
        </w:rPr>
        <w:t>2+</w:t>
      </w:r>
      <w:r w:rsidRPr="00DE4EB2">
        <w:rPr>
          <w:rFonts w:ascii="Arial" w:hAnsi="Arial" w:cs="Arial"/>
          <w:sz w:val="24"/>
          <w:lang w:val="en-AU"/>
        </w:rPr>
        <w:t xml:space="preserve"> +</w:t>
      </w:r>
      <w:r w:rsidRPr="00DE4EB2">
        <w:rPr>
          <w:rFonts w:ascii="Arial" w:hAnsi="Arial" w:cs="Arial"/>
          <w:sz w:val="24"/>
          <w:vertAlign w:val="subscript"/>
          <w:lang w:val="en-AU"/>
        </w:rPr>
        <w:t xml:space="preserve"> </w:t>
      </w:r>
      <w:r w:rsidRPr="00DE4EB2">
        <w:rPr>
          <w:rFonts w:ascii="Arial" w:hAnsi="Arial" w:cs="Arial"/>
          <w:sz w:val="24"/>
          <w:lang w:val="en-AU"/>
        </w:rPr>
        <w:t xml:space="preserve">Mg)] values of 0.509–0.525 and sample 53816 has values of 0.481–0.492. </w:t>
      </w:r>
    </w:p>
    <w:p w14:paraId="5CB13BF9" w14:textId="77777777" w:rsidR="00DE4EB2" w:rsidRPr="00D26A43" w:rsidRDefault="00DE4EB2" w:rsidP="00DE4EB2">
      <w:pPr>
        <w:spacing w:line="276" w:lineRule="auto"/>
        <w:rPr>
          <w:rFonts w:ascii="Arial" w:hAnsi="Arial" w:cs="Arial"/>
          <w:b/>
          <w:i/>
          <w:sz w:val="24"/>
          <w:lang w:val="en-AU"/>
        </w:rPr>
      </w:pPr>
      <w:r w:rsidRPr="00D26A43">
        <w:rPr>
          <w:rFonts w:ascii="Arial" w:hAnsi="Arial" w:cs="Arial"/>
          <w:b/>
          <w:i/>
          <w:sz w:val="24"/>
          <w:lang w:val="en-AU"/>
        </w:rPr>
        <w:t>Cordierite</w:t>
      </w:r>
    </w:p>
    <w:p w14:paraId="16569F38" w14:textId="77777777" w:rsidR="00DE4EB2" w:rsidRPr="00DE4EB2" w:rsidRDefault="00DE4EB2" w:rsidP="00DE4EB2">
      <w:pPr>
        <w:spacing w:line="276" w:lineRule="auto"/>
        <w:rPr>
          <w:rFonts w:ascii="Arial" w:hAnsi="Arial" w:cs="Arial"/>
          <w:sz w:val="24"/>
          <w:lang w:val="en-AU"/>
        </w:rPr>
      </w:pPr>
      <w:r w:rsidRPr="00DE4EB2">
        <w:rPr>
          <w:rFonts w:ascii="Arial" w:hAnsi="Arial" w:cs="Arial"/>
          <w:sz w:val="24"/>
          <w:lang w:val="en-AU"/>
        </w:rPr>
        <w:t xml:space="preserve">Cordierite porphyroblasts in sample 53815 have </w:t>
      </w:r>
      <w:proofErr w:type="spellStart"/>
      <w:r w:rsidRPr="00DE4EB2">
        <w:rPr>
          <w:rFonts w:ascii="Arial" w:hAnsi="Arial" w:cs="Arial"/>
          <w:i/>
          <w:sz w:val="24"/>
          <w:lang w:val="en-AU"/>
        </w:rPr>
        <w:t>X</w:t>
      </w:r>
      <w:r w:rsidRPr="00DE4EB2">
        <w:rPr>
          <w:rFonts w:ascii="Arial" w:hAnsi="Arial" w:cs="Arial"/>
          <w:sz w:val="24"/>
          <w:vertAlign w:val="subscript"/>
          <w:lang w:val="en-AU"/>
        </w:rPr>
        <w:t>Fe</w:t>
      </w:r>
      <w:proofErr w:type="spellEnd"/>
      <w:r w:rsidRPr="00DE4EB2">
        <w:rPr>
          <w:rFonts w:ascii="Arial" w:hAnsi="Arial" w:cs="Arial"/>
          <w:sz w:val="24"/>
          <w:lang w:val="en-AU"/>
        </w:rPr>
        <w:t xml:space="preserve"> values of 0.355–0.369 and </w:t>
      </w:r>
      <w:proofErr w:type="spellStart"/>
      <w:r w:rsidRPr="00DE4EB2">
        <w:rPr>
          <w:rFonts w:ascii="Arial" w:hAnsi="Arial" w:cs="Arial"/>
          <w:sz w:val="24"/>
          <w:lang w:val="en-AU"/>
        </w:rPr>
        <w:t>MnO</w:t>
      </w:r>
      <w:proofErr w:type="spellEnd"/>
      <w:r w:rsidRPr="00DE4EB2">
        <w:rPr>
          <w:rFonts w:ascii="Arial" w:hAnsi="Arial" w:cs="Arial"/>
          <w:sz w:val="24"/>
          <w:lang w:val="en-AU"/>
        </w:rPr>
        <w:t xml:space="preserve"> values of 0.62–0.67 wt%. </w:t>
      </w:r>
    </w:p>
    <w:p w14:paraId="1426E011" w14:textId="77777777" w:rsidR="00DE4EB2" w:rsidRPr="00D26A43" w:rsidRDefault="00DE4EB2" w:rsidP="00DE4EB2">
      <w:pPr>
        <w:spacing w:line="276" w:lineRule="auto"/>
        <w:rPr>
          <w:rFonts w:ascii="Arial" w:hAnsi="Arial" w:cs="Arial"/>
          <w:b/>
          <w:i/>
          <w:sz w:val="24"/>
          <w:lang w:val="en-AU"/>
        </w:rPr>
      </w:pPr>
      <w:r w:rsidRPr="00D26A43">
        <w:rPr>
          <w:rFonts w:ascii="Arial" w:hAnsi="Arial" w:cs="Arial"/>
          <w:b/>
          <w:i/>
          <w:sz w:val="24"/>
          <w:lang w:val="en-AU"/>
        </w:rPr>
        <w:t>Staurolite</w:t>
      </w:r>
    </w:p>
    <w:p w14:paraId="326EB2E9" w14:textId="77777777" w:rsidR="00DE4EB2" w:rsidRPr="00DE4EB2" w:rsidRDefault="00DE4EB2" w:rsidP="00DE4EB2">
      <w:pPr>
        <w:spacing w:line="276" w:lineRule="auto"/>
        <w:rPr>
          <w:rFonts w:ascii="Arial" w:hAnsi="Arial" w:cs="Arial"/>
          <w:sz w:val="24"/>
          <w:lang w:val="en-AU"/>
        </w:rPr>
      </w:pPr>
      <w:r w:rsidRPr="00DE4EB2">
        <w:rPr>
          <w:rFonts w:ascii="Arial" w:hAnsi="Arial" w:cs="Arial"/>
          <w:sz w:val="24"/>
          <w:lang w:val="en-AU"/>
        </w:rPr>
        <w:t xml:space="preserve">Staurolite is present in both samples and has </w:t>
      </w:r>
      <w:proofErr w:type="spellStart"/>
      <w:r w:rsidRPr="00DE4EB2">
        <w:rPr>
          <w:rFonts w:ascii="Arial" w:hAnsi="Arial" w:cs="Arial"/>
          <w:i/>
          <w:sz w:val="24"/>
          <w:lang w:val="en-AU"/>
        </w:rPr>
        <w:t>X</w:t>
      </w:r>
      <w:r w:rsidRPr="00DE4EB2">
        <w:rPr>
          <w:rFonts w:ascii="Arial" w:hAnsi="Arial" w:cs="Arial"/>
          <w:sz w:val="24"/>
          <w:vertAlign w:val="subscript"/>
          <w:lang w:val="en-AU"/>
        </w:rPr>
        <w:t>Fe</w:t>
      </w:r>
      <w:proofErr w:type="spellEnd"/>
      <w:r w:rsidRPr="00DE4EB2">
        <w:rPr>
          <w:rFonts w:ascii="Arial" w:hAnsi="Arial" w:cs="Arial"/>
          <w:sz w:val="24"/>
          <w:vertAlign w:val="subscript"/>
          <w:lang w:val="en-AU"/>
        </w:rPr>
        <w:t xml:space="preserve"> </w:t>
      </w:r>
      <w:r w:rsidRPr="00DE4EB2">
        <w:rPr>
          <w:rFonts w:ascii="Arial" w:hAnsi="Arial" w:cs="Arial"/>
          <w:sz w:val="24"/>
          <w:lang w:val="en-AU"/>
        </w:rPr>
        <w:t xml:space="preserve">values of 0.716–0.840 and </w:t>
      </w:r>
      <w:proofErr w:type="spellStart"/>
      <w:r w:rsidRPr="00DE4EB2">
        <w:rPr>
          <w:rFonts w:ascii="Arial" w:hAnsi="Arial" w:cs="Arial"/>
          <w:sz w:val="24"/>
          <w:lang w:val="en-AU"/>
        </w:rPr>
        <w:t>ZnO</w:t>
      </w:r>
      <w:proofErr w:type="spellEnd"/>
      <w:r w:rsidRPr="00DE4EB2">
        <w:rPr>
          <w:rFonts w:ascii="Arial" w:hAnsi="Arial" w:cs="Arial"/>
          <w:sz w:val="24"/>
          <w:lang w:val="en-AU"/>
        </w:rPr>
        <w:t xml:space="preserve"> content of 0.16–0.29 wt% in sample 53815 and 1.20–1.36 wt% in sample 53816.  </w:t>
      </w:r>
    </w:p>
    <w:p w14:paraId="5BD25A1A" w14:textId="77777777" w:rsidR="00DE4EB2" w:rsidRPr="00DE4EB2" w:rsidRDefault="00DE4EB2" w:rsidP="00DE4EB2">
      <w:pPr>
        <w:spacing w:line="276" w:lineRule="auto"/>
        <w:rPr>
          <w:rFonts w:ascii="Arial" w:hAnsi="Arial" w:cs="Arial"/>
          <w:i/>
          <w:sz w:val="24"/>
          <w:lang w:val="en-AU"/>
        </w:rPr>
      </w:pPr>
      <w:r w:rsidRPr="00D26A43">
        <w:rPr>
          <w:rFonts w:ascii="Arial" w:hAnsi="Arial" w:cs="Arial"/>
          <w:b/>
          <w:i/>
          <w:sz w:val="24"/>
          <w:lang w:val="en-AU"/>
        </w:rPr>
        <w:t>Plagioclase</w:t>
      </w:r>
    </w:p>
    <w:p w14:paraId="2FD77FE6" w14:textId="77777777" w:rsidR="00DE4EB2" w:rsidRPr="00DE4EB2" w:rsidRDefault="00DE4EB2" w:rsidP="00DE4EB2">
      <w:pPr>
        <w:spacing w:line="276" w:lineRule="auto"/>
        <w:rPr>
          <w:rFonts w:ascii="Arial" w:hAnsi="Arial" w:cs="Arial"/>
          <w:sz w:val="24"/>
          <w:lang w:val="en-AU"/>
        </w:rPr>
      </w:pPr>
      <w:r w:rsidRPr="00DE4EB2">
        <w:rPr>
          <w:rFonts w:ascii="Arial" w:hAnsi="Arial" w:cs="Arial"/>
          <w:sz w:val="24"/>
          <w:lang w:val="en-AU"/>
        </w:rPr>
        <w:t xml:space="preserve">Plagioclase is present in both samples. Sample 53815 and 53816 have similar </w:t>
      </w:r>
      <w:proofErr w:type="spellStart"/>
      <w:r w:rsidRPr="00DE4EB2">
        <w:rPr>
          <w:rFonts w:ascii="Arial" w:hAnsi="Arial" w:cs="Arial"/>
          <w:i/>
          <w:sz w:val="24"/>
          <w:lang w:val="en-AU"/>
        </w:rPr>
        <w:t>X</w:t>
      </w:r>
      <w:r w:rsidRPr="00DE4EB2">
        <w:rPr>
          <w:rFonts w:ascii="Arial" w:hAnsi="Arial" w:cs="Arial"/>
          <w:sz w:val="24"/>
          <w:vertAlign w:val="subscript"/>
          <w:lang w:val="en-AU"/>
        </w:rPr>
        <w:t>Ab</w:t>
      </w:r>
      <w:proofErr w:type="spellEnd"/>
      <w:r w:rsidRPr="00DE4EB2">
        <w:rPr>
          <w:rFonts w:ascii="Arial" w:hAnsi="Arial" w:cs="Arial"/>
          <w:sz w:val="24"/>
          <w:lang w:val="en-AU"/>
        </w:rPr>
        <w:t xml:space="preserve"> [Na</w:t>
      </w:r>
      <w:proofErr w:type="gramStart"/>
      <w:r w:rsidRPr="00DE4EB2">
        <w:rPr>
          <w:rFonts w:ascii="Arial" w:hAnsi="Arial" w:cs="Arial"/>
          <w:sz w:val="24"/>
          <w:lang w:val="en-AU"/>
        </w:rPr>
        <w:t>/(</w:t>
      </w:r>
      <w:proofErr w:type="gramEnd"/>
      <w:r w:rsidRPr="00DE4EB2">
        <w:rPr>
          <w:rFonts w:ascii="Arial" w:hAnsi="Arial" w:cs="Arial"/>
          <w:sz w:val="24"/>
          <w:lang w:val="en-AU"/>
        </w:rPr>
        <w:t>Na+ Ca + K)]</w:t>
      </w:r>
      <w:r w:rsidRPr="00DE4EB2">
        <w:rPr>
          <w:rFonts w:ascii="Arial" w:hAnsi="Arial" w:cs="Arial"/>
          <w:sz w:val="24"/>
          <w:vertAlign w:val="subscript"/>
          <w:lang w:val="en-AU"/>
        </w:rPr>
        <w:t xml:space="preserve"> </w:t>
      </w:r>
      <w:r w:rsidRPr="00DE4EB2">
        <w:rPr>
          <w:rFonts w:ascii="Arial" w:hAnsi="Arial" w:cs="Arial"/>
          <w:sz w:val="24"/>
          <w:lang w:val="en-AU"/>
        </w:rPr>
        <w:t xml:space="preserve">values of 0.708–0.744. </w:t>
      </w:r>
    </w:p>
    <w:p w14:paraId="795255F8" w14:textId="77777777" w:rsidR="00DE4EB2" w:rsidRPr="00D26A43" w:rsidRDefault="00DE4EB2" w:rsidP="00DE4EB2">
      <w:pPr>
        <w:spacing w:line="276" w:lineRule="auto"/>
        <w:rPr>
          <w:rFonts w:ascii="Arial" w:hAnsi="Arial" w:cs="Arial"/>
          <w:b/>
          <w:i/>
          <w:sz w:val="24"/>
          <w:lang w:val="en-AU"/>
        </w:rPr>
      </w:pPr>
      <w:r w:rsidRPr="00D26A43">
        <w:rPr>
          <w:rFonts w:ascii="Arial" w:hAnsi="Arial" w:cs="Arial"/>
          <w:b/>
          <w:i/>
          <w:sz w:val="24"/>
          <w:lang w:val="en-AU"/>
        </w:rPr>
        <w:t>Ilmenite</w:t>
      </w:r>
    </w:p>
    <w:p w14:paraId="3F69E3A0" w14:textId="30D4D445" w:rsidR="006E6431" w:rsidRPr="009A0DF2" w:rsidRDefault="00DE4EB2" w:rsidP="009A0DF2">
      <w:pPr>
        <w:spacing w:before="240" w:line="276" w:lineRule="auto"/>
        <w:rPr>
          <w:rFonts w:ascii="Arial" w:hAnsi="Arial" w:cs="Arial"/>
          <w:sz w:val="24"/>
          <w:lang w:val="en-AU"/>
        </w:rPr>
      </w:pPr>
      <w:r w:rsidRPr="00DE4EB2">
        <w:rPr>
          <w:rFonts w:ascii="Arial" w:hAnsi="Arial" w:cs="Arial"/>
          <w:sz w:val="24"/>
          <w:lang w:val="en-AU"/>
        </w:rPr>
        <w:t>Ilmenite is present in both samples. TiO</w:t>
      </w:r>
      <w:r w:rsidRPr="00DE4EB2">
        <w:rPr>
          <w:rFonts w:ascii="Arial" w:hAnsi="Arial" w:cs="Arial"/>
          <w:sz w:val="24"/>
          <w:vertAlign w:val="subscript"/>
          <w:lang w:val="en-AU"/>
        </w:rPr>
        <w:t>2</w:t>
      </w:r>
      <w:r w:rsidRPr="00DE4EB2">
        <w:rPr>
          <w:rFonts w:ascii="Arial" w:hAnsi="Arial" w:cs="Arial"/>
          <w:sz w:val="24"/>
          <w:lang w:val="en-AU"/>
        </w:rPr>
        <w:t xml:space="preserve"> content in sample 53815 varies between 49.5–51.8 wt%, whereas sample 53816 has higher TiO</w:t>
      </w:r>
      <w:r w:rsidRPr="00DE4EB2">
        <w:rPr>
          <w:rFonts w:ascii="Arial" w:hAnsi="Arial" w:cs="Arial"/>
          <w:sz w:val="24"/>
          <w:vertAlign w:val="subscript"/>
          <w:lang w:val="en-AU"/>
        </w:rPr>
        <w:t>2</w:t>
      </w:r>
      <w:r w:rsidRPr="00DE4EB2">
        <w:rPr>
          <w:rFonts w:ascii="Arial" w:hAnsi="Arial" w:cs="Arial"/>
          <w:sz w:val="24"/>
          <w:lang w:val="en-AU"/>
        </w:rPr>
        <w:t xml:space="preserve"> content of 52.9–53.1 wt%. Sample 53815 has a </w:t>
      </w:r>
      <w:proofErr w:type="spellStart"/>
      <w:r w:rsidRPr="00DE4EB2">
        <w:rPr>
          <w:rFonts w:ascii="Arial" w:hAnsi="Arial" w:cs="Arial"/>
          <w:sz w:val="24"/>
          <w:lang w:val="en-AU"/>
        </w:rPr>
        <w:t>MnO</w:t>
      </w:r>
      <w:proofErr w:type="spellEnd"/>
      <w:r w:rsidRPr="00DE4EB2">
        <w:rPr>
          <w:rFonts w:ascii="Arial" w:hAnsi="Arial" w:cs="Arial"/>
          <w:sz w:val="24"/>
          <w:lang w:val="en-AU"/>
        </w:rPr>
        <w:t xml:space="preserve"> content of 2.20–3.82 wt% and sample 53816 has a lower </w:t>
      </w:r>
      <w:proofErr w:type="spellStart"/>
      <w:r w:rsidRPr="00DE4EB2">
        <w:rPr>
          <w:rFonts w:ascii="Arial" w:hAnsi="Arial" w:cs="Arial"/>
          <w:sz w:val="24"/>
          <w:lang w:val="en-AU"/>
        </w:rPr>
        <w:t>MnO</w:t>
      </w:r>
      <w:proofErr w:type="spellEnd"/>
      <w:r w:rsidRPr="00DE4EB2">
        <w:rPr>
          <w:rFonts w:ascii="Arial" w:hAnsi="Arial" w:cs="Arial"/>
          <w:sz w:val="24"/>
          <w:lang w:val="en-AU"/>
        </w:rPr>
        <w:t xml:space="preserve"> content of 0.99–1.11 wt%.</w:t>
      </w:r>
    </w:p>
    <w:sectPr w:rsidR="006E6431" w:rsidRPr="009A0D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 Geological Soc (London)&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9xzrsr4red06eezaavatf1xevdww5red0a&quot;&gt;Fisher Terrane Cambrian&lt;record-ids&gt;&lt;item&gt;56&lt;/item&gt;&lt;item&gt;57&lt;/item&gt;&lt;item&gt;59&lt;/item&gt;&lt;item&gt;60&lt;/item&gt;&lt;item&gt;62&lt;/item&gt;&lt;item&gt;80&lt;/item&gt;&lt;item&gt;81&lt;/item&gt;&lt;item&gt;92&lt;/item&gt;&lt;item&gt;93&lt;/item&gt;&lt;item&gt;94&lt;/item&gt;&lt;item&gt;95&lt;/item&gt;&lt;item&gt;153&lt;/item&gt;&lt;/record-ids&gt;&lt;/item&gt;&lt;/Libraries&gt;"/>
  </w:docVars>
  <w:rsids>
    <w:rsidRoot w:val="006E6431"/>
    <w:rsid w:val="001A6054"/>
    <w:rsid w:val="00214835"/>
    <w:rsid w:val="003B61E9"/>
    <w:rsid w:val="00480EC6"/>
    <w:rsid w:val="00560365"/>
    <w:rsid w:val="00612105"/>
    <w:rsid w:val="006E6431"/>
    <w:rsid w:val="00720E2D"/>
    <w:rsid w:val="008135D0"/>
    <w:rsid w:val="0087190D"/>
    <w:rsid w:val="008E388D"/>
    <w:rsid w:val="009A098D"/>
    <w:rsid w:val="009A0DF2"/>
    <w:rsid w:val="009D3510"/>
    <w:rsid w:val="00A31C8D"/>
    <w:rsid w:val="00A40C52"/>
    <w:rsid w:val="00A869E6"/>
    <w:rsid w:val="00A86FC9"/>
    <w:rsid w:val="00A96285"/>
    <w:rsid w:val="00AC2A44"/>
    <w:rsid w:val="00B10088"/>
    <w:rsid w:val="00B41690"/>
    <w:rsid w:val="00B75501"/>
    <w:rsid w:val="00D26A43"/>
    <w:rsid w:val="00DE4EB2"/>
    <w:rsid w:val="00F05BC9"/>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59431"/>
  <w15:chartTrackingRefBased/>
  <w15:docId w15:val="{F83CDC11-C15F-4D3F-8912-EA61DFDA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A31C8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31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1C8D"/>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A96285"/>
    <w:pPr>
      <w:spacing w:after="0"/>
      <w:jc w:val="center"/>
    </w:pPr>
    <w:rPr>
      <w:rFonts w:ascii="Arial" w:hAnsi="Arial" w:cs="Arial"/>
      <w:noProof/>
      <w:sz w:val="24"/>
    </w:rPr>
  </w:style>
  <w:style w:type="character" w:customStyle="1" w:styleId="EndNoteBibliographyTitleChar">
    <w:name w:val="EndNote Bibliography Title Char"/>
    <w:basedOn w:val="DefaultParagraphFont"/>
    <w:link w:val="EndNoteBibliographyTitle"/>
    <w:rsid w:val="00A96285"/>
    <w:rPr>
      <w:rFonts w:ascii="Arial" w:hAnsi="Arial" w:cs="Arial"/>
      <w:noProof/>
      <w:sz w:val="24"/>
    </w:rPr>
  </w:style>
  <w:style w:type="paragraph" w:customStyle="1" w:styleId="EndNoteBibliography">
    <w:name w:val="EndNote Bibliography"/>
    <w:basedOn w:val="Normal"/>
    <w:link w:val="EndNoteBibliographyChar"/>
    <w:rsid w:val="00A96285"/>
    <w:pPr>
      <w:spacing w:line="240" w:lineRule="auto"/>
    </w:pPr>
    <w:rPr>
      <w:rFonts w:ascii="Arial" w:hAnsi="Arial" w:cs="Arial"/>
      <w:noProof/>
      <w:sz w:val="24"/>
    </w:rPr>
  </w:style>
  <w:style w:type="character" w:customStyle="1" w:styleId="EndNoteBibliographyChar">
    <w:name w:val="EndNote Bibliography Char"/>
    <w:basedOn w:val="DefaultParagraphFont"/>
    <w:link w:val="EndNoteBibliography"/>
    <w:rsid w:val="00A96285"/>
    <w:rPr>
      <w:rFonts w:ascii="Arial" w:hAnsi="Arial" w:cs="Arial"/>
      <w:noProof/>
      <w:sz w:val="24"/>
    </w:rPr>
  </w:style>
  <w:style w:type="character" w:styleId="Hyperlink">
    <w:name w:val="Hyperlink"/>
    <w:basedOn w:val="DefaultParagraphFont"/>
    <w:uiPriority w:val="99"/>
    <w:unhideWhenUsed/>
    <w:rsid w:val="00A96285"/>
    <w:rPr>
      <w:color w:val="0563C1" w:themeColor="hyperlink"/>
      <w:u w:val="single"/>
    </w:rPr>
  </w:style>
  <w:style w:type="table" w:customStyle="1" w:styleId="TableGrid11">
    <w:name w:val="Table Grid11"/>
    <w:basedOn w:val="TableNormal"/>
    <w:next w:val="TableGrid"/>
    <w:uiPriority w:val="59"/>
    <w:rsid w:val="00DE4EB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1667</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Vries Van Leeuwen, Alexander Thomas - deyat001</dc:creator>
  <cp:keywords/>
  <dc:description/>
  <cp:lastModifiedBy>Patricia Pantos</cp:lastModifiedBy>
  <cp:revision>4</cp:revision>
  <dcterms:created xsi:type="dcterms:W3CDTF">2019-01-15T00:25:00Z</dcterms:created>
  <dcterms:modified xsi:type="dcterms:W3CDTF">2019-02-07T09:38:00Z</dcterms:modified>
</cp:coreProperties>
</file>