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BD2B4" w14:textId="5B4E59E5" w:rsidR="00112285" w:rsidRPr="006B56B4" w:rsidRDefault="00EB1493" w:rsidP="006B56B4">
      <w:pPr>
        <w:pStyle w:val="Heading1"/>
        <w:rPr>
          <w:rFonts w:asciiTheme="minorHAnsi" w:hAnsiTheme="minorHAnsi"/>
          <w:b/>
          <w:color w:val="000000" w:themeColor="text1"/>
          <w:sz w:val="28"/>
          <w:szCs w:val="28"/>
        </w:rPr>
      </w:pPr>
      <w:bookmarkStart w:id="0" w:name="_GoBack"/>
      <w:bookmarkEnd w:id="0"/>
      <w:r>
        <w:rPr>
          <w:rFonts w:asciiTheme="minorHAnsi" w:hAnsiTheme="minorHAnsi"/>
          <w:b/>
          <w:color w:val="000000" w:themeColor="text1"/>
          <w:sz w:val="28"/>
          <w:szCs w:val="28"/>
        </w:rPr>
        <w:t>Supplementary Document A</w:t>
      </w:r>
    </w:p>
    <w:p w14:paraId="34A40E7A" w14:textId="77777777" w:rsidR="006B56B4" w:rsidRDefault="006B56B4" w:rsidP="006B56B4">
      <w:pPr>
        <w:pStyle w:val="Heading2"/>
        <w:rPr>
          <w:rFonts w:asciiTheme="minorHAnsi" w:hAnsiTheme="minorHAnsi"/>
          <w:b/>
          <w:color w:val="000000" w:themeColor="text1"/>
          <w:sz w:val="28"/>
          <w:szCs w:val="28"/>
        </w:rPr>
      </w:pPr>
    </w:p>
    <w:p w14:paraId="5F330ADA" w14:textId="6779544D" w:rsidR="002B06D3" w:rsidRPr="006B56B4" w:rsidRDefault="00554EE6" w:rsidP="006B56B4">
      <w:pPr>
        <w:pStyle w:val="Heading2"/>
        <w:rPr>
          <w:rFonts w:asciiTheme="minorHAnsi" w:hAnsiTheme="minorHAnsi"/>
          <w:b/>
          <w:color w:val="000000" w:themeColor="text1"/>
          <w:sz w:val="28"/>
          <w:szCs w:val="28"/>
        </w:rPr>
      </w:pPr>
      <w:r w:rsidRPr="006B56B4">
        <w:rPr>
          <w:rFonts w:asciiTheme="minorHAnsi" w:hAnsiTheme="minorHAnsi"/>
          <w:b/>
          <w:color w:val="000000" w:themeColor="text1"/>
          <w:sz w:val="28"/>
          <w:szCs w:val="28"/>
        </w:rPr>
        <w:t>Detailed methodology</w:t>
      </w:r>
    </w:p>
    <w:p w14:paraId="44342F0D" w14:textId="7885514D" w:rsidR="002B06D3" w:rsidRPr="006B56B4" w:rsidRDefault="002B06D3" w:rsidP="006B56B4">
      <w:pPr>
        <w:pStyle w:val="Heading3"/>
        <w:rPr>
          <w:rFonts w:asciiTheme="minorHAnsi" w:hAnsiTheme="minorHAnsi"/>
          <w:sz w:val="24"/>
          <w:szCs w:val="24"/>
        </w:rPr>
      </w:pPr>
      <w:r w:rsidRPr="006B56B4">
        <w:rPr>
          <w:rFonts w:asciiTheme="minorHAnsi" w:hAnsiTheme="minorHAnsi"/>
          <w:sz w:val="24"/>
          <w:szCs w:val="24"/>
        </w:rPr>
        <w:t>Sampling</w:t>
      </w:r>
      <w:r w:rsidR="009231C1" w:rsidRPr="006B56B4">
        <w:rPr>
          <w:rFonts w:asciiTheme="minorHAnsi" w:hAnsiTheme="minorHAnsi"/>
          <w:sz w:val="24"/>
          <w:szCs w:val="24"/>
        </w:rPr>
        <w:t xml:space="preserve"> of salt core</w:t>
      </w:r>
    </w:p>
    <w:p w14:paraId="20FDE81B" w14:textId="412C52F0" w:rsidR="0069576A" w:rsidRDefault="00AB70BD" w:rsidP="00A43E1D">
      <w:pPr>
        <w:jc w:val="both"/>
      </w:pPr>
      <w:r>
        <w:t>Two borehole</w:t>
      </w:r>
      <w:r w:rsidR="004D02BB">
        <w:t xml:space="preserve"> cores</w:t>
      </w:r>
      <w:r w:rsidR="0069576A">
        <w:t xml:space="preserve"> held within the National Geological Materials Collection (NGMC) collection at BGS, </w:t>
      </w:r>
      <w:r w:rsidR="0069576A" w:rsidRPr="00191455">
        <w:t>Keyworth were sampled</w:t>
      </w:r>
      <w:r w:rsidR="0061397F" w:rsidRPr="00191455">
        <w:t xml:space="preserve"> (Table 1)</w:t>
      </w:r>
      <w:r w:rsidR="0069576A" w:rsidRPr="00191455">
        <w:t xml:space="preserve">. These </w:t>
      </w:r>
      <w:r>
        <w:t>borehole</w:t>
      </w:r>
      <w:r w:rsidR="002D54CE" w:rsidRPr="00191455">
        <w:t xml:space="preserve"> </w:t>
      </w:r>
      <w:r w:rsidR="00691073" w:rsidRPr="00191455">
        <w:t>cores</w:t>
      </w:r>
      <w:r w:rsidR="0069576A" w:rsidRPr="00191455">
        <w:t xml:space="preserve"> were both drilled through Triassic halite in the NW</w:t>
      </w:r>
      <w:r w:rsidR="0069576A">
        <w:t xml:space="preserve"> of England</w:t>
      </w:r>
      <w:r w:rsidR="002D54CE">
        <w:t xml:space="preserve"> (</w:t>
      </w:r>
      <w:r w:rsidR="000A1492">
        <w:t>formed ~245 Mya)</w:t>
      </w:r>
      <w:r w:rsidR="006B56B4">
        <w:t>: T</w:t>
      </w:r>
      <w:r w:rsidR="0069576A">
        <w:t xml:space="preserve">he Arm Hill </w:t>
      </w:r>
      <w:r w:rsidR="00691073">
        <w:t xml:space="preserve">No 1 </w:t>
      </w:r>
      <w:r>
        <w:t>borehole</w:t>
      </w:r>
      <w:r w:rsidR="002D54CE">
        <w:t xml:space="preserve"> </w:t>
      </w:r>
      <w:r w:rsidR="00691073" w:rsidRPr="005747DB">
        <w:t>core</w:t>
      </w:r>
      <w:r w:rsidR="0069576A" w:rsidRPr="005747DB">
        <w:t xml:space="preserve"> </w:t>
      </w:r>
      <w:r w:rsidR="005747DB" w:rsidRPr="005747DB">
        <w:t>(</w:t>
      </w:r>
      <w:r w:rsidR="004E35F1">
        <w:t>Lat. 53.9119788196, Long. -2.99077338532</w:t>
      </w:r>
      <w:r w:rsidR="005747DB" w:rsidRPr="005747DB">
        <w:rPr>
          <w:bCs/>
        </w:rPr>
        <w:t xml:space="preserve">) </w:t>
      </w:r>
      <w:r w:rsidR="00B94C55">
        <w:rPr>
          <w:bCs/>
        </w:rPr>
        <w:t xml:space="preserve">in the </w:t>
      </w:r>
      <w:proofErr w:type="spellStart"/>
      <w:r w:rsidR="00B94C55">
        <w:rPr>
          <w:bCs/>
        </w:rPr>
        <w:t>Preesall</w:t>
      </w:r>
      <w:proofErr w:type="spellEnd"/>
      <w:r w:rsidR="00B94C55">
        <w:rPr>
          <w:bCs/>
        </w:rPr>
        <w:t xml:space="preserve"> </w:t>
      </w:r>
      <w:proofErr w:type="spellStart"/>
      <w:r w:rsidR="00B94C55">
        <w:rPr>
          <w:bCs/>
        </w:rPr>
        <w:t>Saltfield</w:t>
      </w:r>
      <w:proofErr w:type="spellEnd"/>
      <w:r w:rsidR="00B94C55">
        <w:rPr>
          <w:bCs/>
        </w:rPr>
        <w:t xml:space="preserve"> </w:t>
      </w:r>
      <w:r w:rsidR="008E2FA2">
        <w:rPr>
          <w:bCs/>
        </w:rPr>
        <w:t>in Lancashire</w:t>
      </w:r>
      <w:r w:rsidR="00B94C55">
        <w:rPr>
          <w:bCs/>
        </w:rPr>
        <w:t xml:space="preserve"> and </w:t>
      </w:r>
      <w:r w:rsidR="0069576A" w:rsidRPr="005747DB">
        <w:t xml:space="preserve">which </w:t>
      </w:r>
      <w:r w:rsidR="005747DB">
        <w:t>has a drilled length of 609 m</w:t>
      </w:r>
      <w:r w:rsidR="00277B87">
        <w:t>, with 341 m</w:t>
      </w:r>
      <w:r w:rsidR="005747DB">
        <w:t xml:space="preserve"> through the</w:t>
      </w:r>
      <w:r>
        <w:t xml:space="preserve"> Lancashire </w:t>
      </w:r>
      <w:proofErr w:type="spellStart"/>
      <w:r>
        <w:t>Preesall</w:t>
      </w:r>
      <w:proofErr w:type="spellEnd"/>
      <w:r>
        <w:t xml:space="preserve"> H</w:t>
      </w:r>
      <w:r w:rsidR="0069576A" w:rsidRPr="005747DB">
        <w:t>alite</w:t>
      </w:r>
      <w:r w:rsidR="007D536B">
        <w:t>;</w:t>
      </w:r>
      <w:r w:rsidR="0069576A" w:rsidRPr="005747DB">
        <w:t xml:space="preserve"> and the Northwich Victoria Infirmary </w:t>
      </w:r>
      <w:r>
        <w:t>borehole</w:t>
      </w:r>
      <w:r w:rsidR="002D54CE">
        <w:t xml:space="preserve"> </w:t>
      </w:r>
      <w:r w:rsidR="00691073" w:rsidRPr="005747DB">
        <w:t>core</w:t>
      </w:r>
      <w:r w:rsidR="0069576A" w:rsidRPr="005747DB">
        <w:t xml:space="preserve"> </w:t>
      </w:r>
      <w:r w:rsidR="00691073" w:rsidRPr="005747DB">
        <w:t>(</w:t>
      </w:r>
      <w:r w:rsidR="00C24F64">
        <w:rPr>
          <w:bCs/>
        </w:rPr>
        <w:t>Lat. 53.2568729118, Long. -2.</w:t>
      </w:r>
      <w:r w:rsidR="00C24F64" w:rsidRPr="00903CB5">
        <w:rPr>
          <w:bCs/>
        </w:rPr>
        <w:t>52039762053</w:t>
      </w:r>
      <w:r w:rsidR="00691073" w:rsidRPr="005747DB">
        <w:rPr>
          <w:bCs/>
        </w:rPr>
        <w:t>)</w:t>
      </w:r>
      <w:r w:rsidR="00B94C55">
        <w:rPr>
          <w:bCs/>
        </w:rPr>
        <w:t xml:space="preserve"> in the Cheshire Basin,</w:t>
      </w:r>
      <w:r w:rsidR="00691073" w:rsidRPr="005747DB">
        <w:rPr>
          <w:bCs/>
        </w:rPr>
        <w:t xml:space="preserve"> </w:t>
      </w:r>
      <w:r w:rsidR="005747DB" w:rsidRPr="005747DB">
        <w:t xml:space="preserve">which has a drilled length of 129.5 m through the </w:t>
      </w:r>
      <w:r w:rsidR="0069576A" w:rsidRPr="005747DB">
        <w:t>Northwich</w:t>
      </w:r>
      <w:r w:rsidR="0069576A">
        <w:t xml:space="preserve"> </w:t>
      </w:r>
      <w:r w:rsidR="00223A57">
        <w:t>h</w:t>
      </w:r>
      <w:r w:rsidR="0069576A">
        <w:t>alite.</w:t>
      </w:r>
      <w:r w:rsidR="00F52409">
        <w:t xml:space="preserve"> The </w:t>
      </w:r>
      <w:proofErr w:type="spellStart"/>
      <w:r w:rsidR="00F52409">
        <w:t>Preesall</w:t>
      </w:r>
      <w:proofErr w:type="spellEnd"/>
      <w:r w:rsidR="00F52409">
        <w:t xml:space="preserve"> </w:t>
      </w:r>
      <w:r>
        <w:t>H</w:t>
      </w:r>
      <w:r w:rsidR="00F52409">
        <w:t xml:space="preserve">alite </w:t>
      </w:r>
      <w:r w:rsidR="00B94C55">
        <w:t xml:space="preserve">and </w:t>
      </w:r>
      <w:r w:rsidR="00F52409">
        <w:t xml:space="preserve">Northwich </w:t>
      </w:r>
      <w:r w:rsidR="00223A57">
        <w:t>h</w:t>
      </w:r>
      <w:r w:rsidR="00F52409">
        <w:t xml:space="preserve">alite </w:t>
      </w:r>
      <w:r w:rsidR="00B94C55">
        <w:t xml:space="preserve">are lateral equivalents </w:t>
      </w:r>
      <w:r w:rsidR="00F52409">
        <w:t xml:space="preserve">(Wilson and </w:t>
      </w:r>
      <w:r w:rsidR="00E270D6">
        <w:t>Evans, 1990; Wilson, 1993)</w:t>
      </w:r>
      <w:r w:rsidR="00B94C55">
        <w:t xml:space="preserve"> and t</w:t>
      </w:r>
      <w:r w:rsidR="00E270D6">
        <w:t>hese</w:t>
      </w:r>
      <w:r w:rsidR="00F52409">
        <w:t xml:space="preserve"> lithologies </w:t>
      </w:r>
      <w:r w:rsidR="00E270D6">
        <w:t xml:space="preserve">were selected as both </w:t>
      </w:r>
      <w:r w:rsidR="00F52409">
        <w:t xml:space="preserve">have been used, or </w:t>
      </w:r>
      <w:r w:rsidR="008E2FA2">
        <w:t xml:space="preserve">are </w:t>
      </w:r>
      <w:r w:rsidR="00F52409" w:rsidRPr="00191455">
        <w:t>be</w:t>
      </w:r>
      <w:r w:rsidR="008E2FA2" w:rsidRPr="00191455">
        <w:t>ing</w:t>
      </w:r>
      <w:r w:rsidR="00F52409" w:rsidRPr="00191455">
        <w:t xml:space="preserve"> considered</w:t>
      </w:r>
      <w:r w:rsidR="00E270D6" w:rsidRPr="00191455">
        <w:t>,</w:t>
      </w:r>
      <w:r w:rsidR="00F52409" w:rsidRPr="00191455">
        <w:t xml:space="preserve"> for gas storage (Evans and Holloway, 2009</w:t>
      </w:r>
      <w:r w:rsidR="008E2FA2" w:rsidRPr="00191455">
        <w:t>; Evans, 2016</w:t>
      </w:r>
      <w:r w:rsidR="00F52409" w:rsidRPr="00191455">
        <w:t>)</w:t>
      </w:r>
      <w:r w:rsidR="00E270D6" w:rsidRPr="00191455">
        <w:t>.</w:t>
      </w:r>
      <w:r w:rsidR="0069576A" w:rsidRPr="00191455">
        <w:t xml:space="preserve"> </w:t>
      </w:r>
      <w:r>
        <w:t xml:space="preserve">From the </w:t>
      </w:r>
      <w:r w:rsidR="0093145F" w:rsidRPr="00191455">
        <w:t xml:space="preserve">core, two adjacent </w:t>
      </w:r>
      <w:r w:rsidR="004E35F1" w:rsidRPr="00191455">
        <w:t xml:space="preserve">lengths of core (each </w:t>
      </w:r>
      <w:r w:rsidR="0093145F" w:rsidRPr="00191455">
        <w:t>100</w:t>
      </w:r>
      <w:r w:rsidR="00F52409" w:rsidRPr="00191455">
        <w:t xml:space="preserve"> mm </w:t>
      </w:r>
      <w:r w:rsidR="004E35F1" w:rsidRPr="00191455">
        <w:t xml:space="preserve">long) </w:t>
      </w:r>
      <w:r w:rsidR="00F52409" w:rsidRPr="00191455">
        <w:t xml:space="preserve">were </w:t>
      </w:r>
      <w:r w:rsidR="0093145F" w:rsidRPr="00191455">
        <w:t>selected to capt</w:t>
      </w:r>
      <w:r w:rsidR="006B56B4" w:rsidRPr="00191455">
        <w:t>ure each lithological variation</w:t>
      </w:r>
      <w:r w:rsidR="00F52409" w:rsidRPr="00191455">
        <w:t xml:space="preserve">. </w:t>
      </w:r>
      <w:r w:rsidR="0093145F" w:rsidRPr="00191455">
        <w:t>T</w:t>
      </w:r>
      <w:r w:rsidR="004D02BB" w:rsidRPr="00191455">
        <w:t xml:space="preserve">his was to ensure that the two samples were </w:t>
      </w:r>
      <w:r w:rsidR="00F52409" w:rsidRPr="00191455">
        <w:t xml:space="preserve">as alike </w:t>
      </w:r>
      <w:r w:rsidR="00E270D6" w:rsidRPr="00191455">
        <w:t>in fabric as is feasible</w:t>
      </w:r>
      <w:r w:rsidR="00F52409" w:rsidRPr="00191455">
        <w:t>.</w:t>
      </w:r>
      <w:r w:rsidR="00824D30" w:rsidRPr="00191455">
        <w:t xml:space="preserve"> The diameter of the Arm Hill and the Northwich cores varied (</w:t>
      </w:r>
      <w:r w:rsidR="00D0106B" w:rsidRPr="00191455">
        <w:t>85 and 12</w:t>
      </w:r>
      <w:r w:rsidR="00824D30" w:rsidRPr="00191455">
        <w:t xml:space="preserve">0 mm respectively), but otherwise the dimensions of the experimental core blocks were identical. </w:t>
      </w:r>
      <w:r w:rsidR="00F52409" w:rsidRPr="00191455">
        <w:t xml:space="preserve"> </w:t>
      </w:r>
      <w:r w:rsidR="00C87593" w:rsidRPr="00191455">
        <w:t xml:space="preserve">Five key salt end-member fabrics </w:t>
      </w:r>
      <w:r w:rsidR="00D3134E" w:rsidRPr="00191455">
        <w:t xml:space="preserve">(refer Hough et al., 2011) </w:t>
      </w:r>
      <w:r w:rsidR="00191455" w:rsidRPr="00191455">
        <w:t>were identified</w:t>
      </w:r>
      <w:r w:rsidR="00D3134E" w:rsidRPr="00191455">
        <w:t>,</w:t>
      </w:r>
      <w:r w:rsidR="00C963C6" w:rsidRPr="00191455">
        <w:t xml:space="preserve"> </w:t>
      </w:r>
      <w:r w:rsidR="00C87593" w:rsidRPr="00191455">
        <w:t>ranging from almost pure halite (cumulate and primary founded mat, to a</w:t>
      </w:r>
      <w:r w:rsidR="00C87593">
        <w:t xml:space="preserve"> high mud content (&gt;80%: </w:t>
      </w:r>
      <w:proofErr w:type="spellStart"/>
      <w:r w:rsidR="00C87593">
        <w:t>haselgebirge</w:t>
      </w:r>
      <w:proofErr w:type="spellEnd"/>
      <w:r w:rsidR="00C87593">
        <w:t>), with intermediate chicken</w:t>
      </w:r>
      <w:r w:rsidR="00903CB5">
        <w:t>-</w:t>
      </w:r>
      <w:r w:rsidR="00C87593">
        <w:t>wire fabric containing anhydrite and clays. The final fabric is a sheared salt</w:t>
      </w:r>
      <w:r w:rsidR="008E2FA2">
        <w:t>,</w:t>
      </w:r>
      <w:r w:rsidR="00C87593">
        <w:t xml:space="preserve"> which we refer to here as ‘</w:t>
      </w:r>
      <w:proofErr w:type="spellStart"/>
      <w:r w:rsidR="00C87593">
        <w:t>mylonite</w:t>
      </w:r>
      <w:proofErr w:type="spellEnd"/>
      <w:r w:rsidR="00C87593">
        <w:t>’.</w:t>
      </w:r>
    </w:p>
    <w:p w14:paraId="47BE1A3E" w14:textId="0FA0C153" w:rsidR="0061397F" w:rsidRPr="0061397F" w:rsidRDefault="0061397F" w:rsidP="0061397F">
      <w:pPr>
        <w:pStyle w:val="Caption"/>
        <w:keepNext/>
        <w:rPr>
          <w:b/>
          <w:color w:val="auto"/>
          <w:sz w:val="22"/>
          <w:szCs w:val="22"/>
        </w:rPr>
      </w:pPr>
      <w:r w:rsidRPr="0061397F">
        <w:rPr>
          <w:b/>
          <w:color w:val="auto"/>
          <w:sz w:val="22"/>
          <w:szCs w:val="22"/>
        </w:rPr>
        <w:t xml:space="preserve">Table </w:t>
      </w:r>
      <w:r w:rsidRPr="0061397F">
        <w:rPr>
          <w:b/>
          <w:color w:val="auto"/>
          <w:sz w:val="22"/>
          <w:szCs w:val="22"/>
        </w:rPr>
        <w:fldChar w:fldCharType="begin"/>
      </w:r>
      <w:r w:rsidRPr="0061397F">
        <w:rPr>
          <w:b/>
          <w:color w:val="auto"/>
          <w:sz w:val="22"/>
          <w:szCs w:val="22"/>
        </w:rPr>
        <w:instrText xml:space="preserve"> SEQ Table \* ARABIC </w:instrText>
      </w:r>
      <w:r w:rsidRPr="0061397F">
        <w:rPr>
          <w:b/>
          <w:color w:val="auto"/>
          <w:sz w:val="22"/>
          <w:szCs w:val="22"/>
        </w:rPr>
        <w:fldChar w:fldCharType="separate"/>
      </w:r>
      <w:r w:rsidR="00DC7A5B">
        <w:rPr>
          <w:b/>
          <w:noProof/>
          <w:color w:val="auto"/>
          <w:sz w:val="22"/>
          <w:szCs w:val="22"/>
        </w:rPr>
        <w:t>1</w:t>
      </w:r>
      <w:r w:rsidRPr="0061397F">
        <w:rPr>
          <w:b/>
          <w:color w:val="auto"/>
          <w:sz w:val="22"/>
          <w:szCs w:val="22"/>
        </w:rPr>
        <w:fldChar w:fldCharType="end"/>
      </w:r>
      <w:r w:rsidRPr="0061397F">
        <w:rPr>
          <w:b/>
          <w:color w:val="auto"/>
          <w:sz w:val="22"/>
          <w:szCs w:val="22"/>
        </w:rPr>
        <w:t xml:space="preserve"> - Experimental samples</w:t>
      </w:r>
    </w:p>
    <w:tbl>
      <w:tblPr>
        <w:tblW w:w="7540" w:type="dxa"/>
        <w:tblLook w:val="04A0" w:firstRow="1" w:lastRow="0" w:firstColumn="1" w:lastColumn="0" w:noHBand="0" w:noVBand="1"/>
      </w:tblPr>
      <w:tblGrid>
        <w:gridCol w:w="986"/>
        <w:gridCol w:w="1880"/>
        <w:gridCol w:w="1480"/>
        <w:gridCol w:w="1120"/>
        <w:gridCol w:w="1078"/>
        <w:gridCol w:w="1140"/>
      </w:tblGrid>
      <w:tr w:rsidR="005A5F70" w:rsidRPr="009A3D60" w14:paraId="785C1707" w14:textId="77777777" w:rsidTr="002467A6">
        <w:trPr>
          <w:trHeight w:val="480"/>
        </w:trPr>
        <w:tc>
          <w:tcPr>
            <w:tcW w:w="960" w:type="dxa"/>
            <w:tcBorders>
              <w:top w:val="nil"/>
              <w:left w:val="nil"/>
              <w:bottom w:val="nil"/>
              <w:right w:val="nil"/>
            </w:tcBorders>
            <w:shd w:val="clear" w:color="auto" w:fill="auto"/>
            <w:noWrap/>
            <w:vAlign w:val="bottom"/>
            <w:hideMark/>
          </w:tcPr>
          <w:p w14:paraId="67991109" w14:textId="77777777" w:rsidR="005A5F70" w:rsidRPr="009A3D60" w:rsidRDefault="005A5F70" w:rsidP="002467A6">
            <w:pPr>
              <w:spacing w:after="0" w:line="240" w:lineRule="auto"/>
              <w:rPr>
                <w:rFonts w:ascii="Calibri" w:eastAsia="Times New Roman" w:hAnsi="Calibri" w:cs="Calibri"/>
                <w:b/>
                <w:bCs/>
                <w:color w:val="000000"/>
                <w:sz w:val="18"/>
                <w:szCs w:val="18"/>
                <w:lang w:eastAsia="en-GB"/>
              </w:rPr>
            </w:pPr>
            <w:r w:rsidRPr="009A3D60">
              <w:rPr>
                <w:rFonts w:ascii="Calibri" w:eastAsia="Times New Roman" w:hAnsi="Calibri" w:cs="Calibri"/>
                <w:b/>
                <w:bCs/>
                <w:color w:val="000000"/>
                <w:sz w:val="18"/>
                <w:szCs w:val="18"/>
                <w:lang w:eastAsia="en-GB"/>
              </w:rPr>
              <w:t>Borehole</w:t>
            </w:r>
          </w:p>
        </w:tc>
        <w:tc>
          <w:tcPr>
            <w:tcW w:w="1880" w:type="dxa"/>
            <w:tcBorders>
              <w:top w:val="nil"/>
              <w:left w:val="nil"/>
              <w:bottom w:val="nil"/>
              <w:right w:val="nil"/>
            </w:tcBorders>
            <w:shd w:val="clear" w:color="auto" w:fill="auto"/>
            <w:noWrap/>
            <w:vAlign w:val="bottom"/>
            <w:hideMark/>
          </w:tcPr>
          <w:p w14:paraId="762F7769" w14:textId="77777777" w:rsidR="005A5F70" w:rsidRPr="009A3D60" w:rsidRDefault="005A5F70" w:rsidP="002467A6">
            <w:pPr>
              <w:spacing w:after="0" w:line="240" w:lineRule="auto"/>
              <w:rPr>
                <w:rFonts w:ascii="Calibri" w:eastAsia="Times New Roman" w:hAnsi="Calibri" w:cs="Calibri"/>
                <w:b/>
                <w:bCs/>
                <w:color w:val="000000"/>
                <w:sz w:val="18"/>
                <w:szCs w:val="18"/>
                <w:lang w:eastAsia="en-GB"/>
              </w:rPr>
            </w:pPr>
            <w:r w:rsidRPr="009A3D60">
              <w:rPr>
                <w:rFonts w:ascii="Calibri" w:eastAsia="Times New Roman" w:hAnsi="Calibri" w:cs="Calibri"/>
                <w:b/>
                <w:bCs/>
                <w:color w:val="000000"/>
                <w:sz w:val="18"/>
                <w:szCs w:val="18"/>
                <w:lang w:eastAsia="en-GB"/>
              </w:rPr>
              <w:t>Formation</w:t>
            </w:r>
          </w:p>
        </w:tc>
        <w:tc>
          <w:tcPr>
            <w:tcW w:w="1480" w:type="dxa"/>
            <w:tcBorders>
              <w:top w:val="nil"/>
              <w:left w:val="nil"/>
              <w:bottom w:val="nil"/>
              <w:right w:val="nil"/>
            </w:tcBorders>
            <w:shd w:val="clear" w:color="auto" w:fill="auto"/>
            <w:noWrap/>
            <w:vAlign w:val="bottom"/>
            <w:hideMark/>
          </w:tcPr>
          <w:p w14:paraId="1604DBA0" w14:textId="77777777" w:rsidR="005A5F70" w:rsidRPr="009A3D60" w:rsidRDefault="005A5F70" w:rsidP="002467A6">
            <w:pPr>
              <w:spacing w:after="0" w:line="240" w:lineRule="auto"/>
              <w:rPr>
                <w:rFonts w:ascii="Calibri" w:eastAsia="Times New Roman" w:hAnsi="Calibri" w:cs="Calibri"/>
                <w:b/>
                <w:bCs/>
                <w:color w:val="000000"/>
                <w:sz w:val="18"/>
                <w:szCs w:val="18"/>
                <w:lang w:eastAsia="en-GB"/>
              </w:rPr>
            </w:pPr>
            <w:r w:rsidRPr="009A3D60">
              <w:rPr>
                <w:rFonts w:ascii="Calibri" w:eastAsia="Times New Roman" w:hAnsi="Calibri" w:cs="Calibri"/>
                <w:b/>
                <w:bCs/>
                <w:color w:val="000000"/>
                <w:sz w:val="18"/>
                <w:szCs w:val="18"/>
                <w:lang w:eastAsia="en-GB"/>
              </w:rPr>
              <w:t>Location</w:t>
            </w:r>
          </w:p>
        </w:tc>
        <w:tc>
          <w:tcPr>
            <w:tcW w:w="1120" w:type="dxa"/>
            <w:tcBorders>
              <w:top w:val="nil"/>
              <w:left w:val="nil"/>
              <w:bottom w:val="nil"/>
              <w:right w:val="nil"/>
            </w:tcBorders>
            <w:shd w:val="clear" w:color="auto" w:fill="auto"/>
            <w:noWrap/>
            <w:vAlign w:val="bottom"/>
            <w:hideMark/>
          </w:tcPr>
          <w:p w14:paraId="536A52EE" w14:textId="77777777" w:rsidR="005A5F70" w:rsidRPr="009A3D60" w:rsidRDefault="005A5F70" w:rsidP="002467A6">
            <w:pPr>
              <w:spacing w:after="0" w:line="240" w:lineRule="auto"/>
              <w:rPr>
                <w:rFonts w:ascii="Calibri" w:eastAsia="Times New Roman" w:hAnsi="Calibri" w:cs="Calibri"/>
                <w:b/>
                <w:bCs/>
                <w:color w:val="000000"/>
                <w:sz w:val="18"/>
                <w:szCs w:val="18"/>
                <w:lang w:eastAsia="en-GB"/>
              </w:rPr>
            </w:pPr>
            <w:r w:rsidRPr="009A3D60">
              <w:rPr>
                <w:rFonts w:ascii="Calibri" w:eastAsia="Times New Roman" w:hAnsi="Calibri" w:cs="Calibri"/>
                <w:b/>
                <w:bCs/>
                <w:color w:val="000000"/>
                <w:sz w:val="18"/>
                <w:szCs w:val="18"/>
                <w:lang w:eastAsia="en-GB"/>
              </w:rPr>
              <w:t>Texture*</w:t>
            </w:r>
          </w:p>
        </w:tc>
        <w:tc>
          <w:tcPr>
            <w:tcW w:w="960" w:type="dxa"/>
            <w:tcBorders>
              <w:top w:val="nil"/>
              <w:left w:val="nil"/>
              <w:bottom w:val="nil"/>
              <w:right w:val="nil"/>
            </w:tcBorders>
            <w:shd w:val="clear" w:color="auto" w:fill="auto"/>
            <w:vAlign w:val="bottom"/>
            <w:hideMark/>
          </w:tcPr>
          <w:p w14:paraId="30FC4B14" w14:textId="77777777" w:rsidR="005A5F70" w:rsidRPr="009A3D60" w:rsidRDefault="005A5F70" w:rsidP="002467A6">
            <w:pPr>
              <w:spacing w:after="0" w:line="240" w:lineRule="auto"/>
              <w:rPr>
                <w:rFonts w:ascii="Calibri" w:eastAsia="Times New Roman" w:hAnsi="Calibri" w:cs="Calibri"/>
                <w:b/>
                <w:bCs/>
                <w:color w:val="000000"/>
                <w:sz w:val="18"/>
                <w:szCs w:val="18"/>
                <w:lang w:eastAsia="en-GB"/>
              </w:rPr>
            </w:pPr>
            <w:r w:rsidRPr="009A3D60">
              <w:rPr>
                <w:rFonts w:ascii="Calibri" w:eastAsia="Times New Roman" w:hAnsi="Calibri" w:cs="Calibri"/>
                <w:b/>
                <w:bCs/>
                <w:color w:val="000000"/>
                <w:sz w:val="18"/>
                <w:szCs w:val="18"/>
                <w:lang w:eastAsia="en-GB"/>
              </w:rPr>
              <w:t>Experiment A (brine)</w:t>
            </w:r>
          </w:p>
        </w:tc>
        <w:tc>
          <w:tcPr>
            <w:tcW w:w="1140" w:type="dxa"/>
            <w:tcBorders>
              <w:top w:val="nil"/>
              <w:left w:val="nil"/>
              <w:bottom w:val="nil"/>
              <w:right w:val="nil"/>
            </w:tcBorders>
            <w:shd w:val="clear" w:color="auto" w:fill="auto"/>
            <w:vAlign w:val="bottom"/>
            <w:hideMark/>
          </w:tcPr>
          <w:p w14:paraId="59D91734" w14:textId="77777777" w:rsidR="005A5F70" w:rsidRPr="009A3D60" w:rsidRDefault="005A5F70" w:rsidP="002467A6">
            <w:pPr>
              <w:spacing w:after="0" w:line="240" w:lineRule="auto"/>
              <w:rPr>
                <w:rFonts w:ascii="Calibri" w:eastAsia="Times New Roman" w:hAnsi="Calibri" w:cs="Calibri"/>
                <w:b/>
                <w:bCs/>
                <w:color w:val="000000"/>
                <w:sz w:val="18"/>
                <w:szCs w:val="18"/>
                <w:lang w:eastAsia="en-GB"/>
              </w:rPr>
            </w:pPr>
            <w:r w:rsidRPr="009A3D60">
              <w:rPr>
                <w:rFonts w:ascii="Calibri" w:eastAsia="Times New Roman" w:hAnsi="Calibri" w:cs="Calibri"/>
                <w:b/>
                <w:bCs/>
                <w:color w:val="000000"/>
                <w:sz w:val="18"/>
                <w:szCs w:val="18"/>
                <w:lang w:eastAsia="en-GB"/>
              </w:rPr>
              <w:t>Experiment B Seawater</w:t>
            </w:r>
          </w:p>
        </w:tc>
      </w:tr>
      <w:tr w:rsidR="005A5F70" w:rsidRPr="009A3D60" w14:paraId="6CF90A1B" w14:textId="77777777" w:rsidTr="002467A6">
        <w:trPr>
          <w:trHeight w:val="24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7FEC7262" w14:textId="77777777" w:rsidR="005A5F70" w:rsidRPr="009A3D60" w:rsidRDefault="005A5F70" w:rsidP="002467A6">
            <w:pPr>
              <w:spacing w:after="0" w:line="240" w:lineRule="auto"/>
              <w:rPr>
                <w:rFonts w:ascii="Calibri" w:eastAsia="Times New Roman" w:hAnsi="Calibri" w:cs="Calibri"/>
                <w:color w:val="000000"/>
                <w:sz w:val="18"/>
                <w:szCs w:val="18"/>
                <w:lang w:eastAsia="en-GB"/>
              </w:rPr>
            </w:pPr>
            <w:r w:rsidRPr="009A3D60">
              <w:rPr>
                <w:rFonts w:ascii="Calibri" w:eastAsia="Times New Roman" w:hAnsi="Calibri" w:cs="Calibri"/>
                <w:color w:val="000000"/>
                <w:sz w:val="18"/>
                <w:szCs w:val="18"/>
                <w:lang w:eastAsia="en-GB"/>
              </w:rPr>
              <w:t>Arm Hill</w:t>
            </w:r>
          </w:p>
        </w:tc>
        <w:tc>
          <w:tcPr>
            <w:tcW w:w="1880" w:type="dxa"/>
            <w:tcBorders>
              <w:top w:val="single" w:sz="4" w:space="0" w:color="auto"/>
              <w:left w:val="nil"/>
              <w:bottom w:val="single" w:sz="4" w:space="0" w:color="auto"/>
              <w:right w:val="single" w:sz="4" w:space="0" w:color="auto"/>
            </w:tcBorders>
            <w:shd w:val="clear" w:color="auto" w:fill="auto"/>
            <w:noWrap/>
            <w:hideMark/>
          </w:tcPr>
          <w:p w14:paraId="2CED09C5" w14:textId="77777777" w:rsidR="005A5F70" w:rsidRPr="009A3D60" w:rsidRDefault="005A5F70" w:rsidP="002467A6">
            <w:pPr>
              <w:spacing w:after="0" w:line="240" w:lineRule="auto"/>
              <w:rPr>
                <w:rFonts w:ascii="Calibri" w:eastAsia="Times New Roman" w:hAnsi="Calibri" w:cs="Calibri"/>
                <w:color w:val="000000"/>
                <w:sz w:val="18"/>
                <w:szCs w:val="18"/>
                <w:lang w:eastAsia="en-GB"/>
              </w:rPr>
            </w:pPr>
            <w:proofErr w:type="spellStart"/>
            <w:r w:rsidRPr="009A3D60">
              <w:rPr>
                <w:rFonts w:ascii="Calibri" w:eastAsia="Times New Roman" w:hAnsi="Calibri" w:cs="Calibri"/>
                <w:color w:val="000000"/>
                <w:sz w:val="18"/>
                <w:szCs w:val="18"/>
                <w:lang w:eastAsia="en-GB"/>
              </w:rPr>
              <w:t>Preesall</w:t>
            </w:r>
            <w:proofErr w:type="spellEnd"/>
            <w:r w:rsidRPr="009A3D60">
              <w:rPr>
                <w:rFonts w:ascii="Calibri" w:eastAsia="Times New Roman" w:hAnsi="Calibri" w:cs="Calibri"/>
                <w:color w:val="000000"/>
                <w:sz w:val="18"/>
                <w:szCs w:val="18"/>
                <w:lang w:eastAsia="en-GB"/>
              </w:rPr>
              <w:t xml:space="preserve"> Halite</w:t>
            </w:r>
          </w:p>
        </w:tc>
        <w:tc>
          <w:tcPr>
            <w:tcW w:w="1480" w:type="dxa"/>
            <w:tcBorders>
              <w:top w:val="single" w:sz="4" w:space="0" w:color="auto"/>
              <w:left w:val="nil"/>
              <w:bottom w:val="single" w:sz="4" w:space="0" w:color="auto"/>
              <w:right w:val="single" w:sz="4" w:space="0" w:color="auto"/>
            </w:tcBorders>
            <w:shd w:val="clear" w:color="auto" w:fill="auto"/>
            <w:noWrap/>
            <w:hideMark/>
          </w:tcPr>
          <w:p w14:paraId="1C9CA143" w14:textId="77777777" w:rsidR="005A5F70" w:rsidRPr="009A3D60" w:rsidRDefault="005A5F70" w:rsidP="002467A6">
            <w:pPr>
              <w:spacing w:after="0" w:line="240" w:lineRule="auto"/>
              <w:rPr>
                <w:rFonts w:ascii="Calibri" w:eastAsia="Times New Roman" w:hAnsi="Calibri" w:cs="Calibri"/>
                <w:color w:val="000000"/>
                <w:sz w:val="18"/>
                <w:szCs w:val="18"/>
                <w:lang w:eastAsia="en-GB"/>
              </w:rPr>
            </w:pPr>
            <w:r w:rsidRPr="009A3D60">
              <w:rPr>
                <w:rFonts w:ascii="Calibri" w:eastAsia="Times New Roman" w:hAnsi="Calibri" w:cs="Calibri"/>
                <w:color w:val="000000"/>
                <w:sz w:val="18"/>
                <w:szCs w:val="18"/>
                <w:lang w:eastAsia="en-GB"/>
              </w:rPr>
              <w:t>Lancashire</w:t>
            </w:r>
          </w:p>
        </w:tc>
        <w:tc>
          <w:tcPr>
            <w:tcW w:w="1120" w:type="dxa"/>
            <w:tcBorders>
              <w:top w:val="single" w:sz="4" w:space="0" w:color="auto"/>
              <w:left w:val="nil"/>
              <w:bottom w:val="single" w:sz="4" w:space="0" w:color="auto"/>
              <w:right w:val="single" w:sz="4" w:space="0" w:color="auto"/>
            </w:tcBorders>
            <w:shd w:val="clear" w:color="auto" w:fill="auto"/>
            <w:noWrap/>
            <w:hideMark/>
          </w:tcPr>
          <w:p w14:paraId="3FE340E3" w14:textId="77777777" w:rsidR="005A5F70" w:rsidRPr="009A3D60" w:rsidRDefault="005A5F70" w:rsidP="002467A6">
            <w:pPr>
              <w:spacing w:after="0" w:line="240" w:lineRule="auto"/>
              <w:jc w:val="center"/>
              <w:rPr>
                <w:rFonts w:ascii="Calibri" w:eastAsia="Times New Roman" w:hAnsi="Calibri" w:cs="Calibri"/>
                <w:color w:val="000000"/>
                <w:sz w:val="18"/>
                <w:szCs w:val="18"/>
                <w:lang w:eastAsia="en-GB"/>
              </w:rPr>
            </w:pPr>
            <w:r w:rsidRPr="009A3D60">
              <w:rPr>
                <w:rFonts w:ascii="Calibri" w:eastAsia="Times New Roman" w:hAnsi="Calibri" w:cs="Calibri"/>
                <w:color w:val="000000"/>
                <w:sz w:val="18"/>
                <w:szCs w:val="18"/>
                <w:lang w:eastAsia="en-GB"/>
              </w:rPr>
              <w:t>M</w:t>
            </w:r>
          </w:p>
        </w:tc>
        <w:tc>
          <w:tcPr>
            <w:tcW w:w="960" w:type="dxa"/>
            <w:tcBorders>
              <w:top w:val="single" w:sz="4" w:space="0" w:color="auto"/>
              <w:left w:val="nil"/>
              <w:bottom w:val="single" w:sz="4" w:space="0" w:color="auto"/>
              <w:right w:val="single" w:sz="4" w:space="0" w:color="auto"/>
            </w:tcBorders>
            <w:shd w:val="clear" w:color="auto" w:fill="auto"/>
            <w:noWrap/>
            <w:hideMark/>
          </w:tcPr>
          <w:p w14:paraId="0C3D0B20" w14:textId="77777777" w:rsidR="005A5F70" w:rsidRPr="009A3D60" w:rsidRDefault="005A5F70" w:rsidP="002467A6">
            <w:pPr>
              <w:spacing w:after="0" w:line="240" w:lineRule="auto"/>
              <w:jc w:val="center"/>
              <w:rPr>
                <w:rFonts w:ascii="Calibri" w:eastAsia="Times New Roman" w:hAnsi="Calibri" w:cs="Calibri"/>
                <w:color w:val="000000"/>
                <w:sz w:val="18"/>
                <w:szCs w:val="18"/>
                <w:lang w:eastAsia="en-GB"/>
              </w:rPr>
            </w:pPr>
            <w:r w:rsidRPr="009A3D60">
              <w:rPr>
                <w:rFonts w:ascii="Calibri" w:eastAsia="Times New Roman" w:hAnsi="Calibri" w:cs="Calibri"/>
                <w:color w:val="000000"/>
                <w:sz w:val="18"/>
                <w:szCs w:val="18"/>
                <w:lang w:eastAsia="en-GB"/>
              </w:rPr>
              <w:t> </w:t>
            </w:r>
          </w:p>
        </w:tc>
        <w:tc>
          <w:tcPr>
            <w:tcW w:w="1140" w:type="dxa"/>
            <w:tcBorders>
              <w:top w:val="single" w:sz="4" w:space="0" w:color="auto"/>
              <w:left w:val="nil"/>
              <w:bottom w:val="single" w:sz="4" w:space="0" w:color="auto"/>
              <w:right w:val="single" w:sz="4" w:space="0" w:color="auto"/>
            </w:tcBorders>
            <w:shd w:val="clear" w:color="auto" w:fill="auto"/>
            <w:noWrap/>
            <w:hideMark/>
          </w:tcPr>
          <w:p w14:paraId="1CE0891E" w14:textId="77777777" w:rsidR="005A5F70" w:rsidRPr="009A3D60" w:rsidRDefault="005A5F70" w:rsidP="002467A6">
            <w:pPr>
              <w:spacing w:after="0" w:line="240" w:lineRule="auto"/>
              <w:jc w:val="center"/>
              <w:rPr>
                <w:rFonts w:ascii="Calibri" w:eastAsia="Times New Roman" w:hAnsi="Calibri" w:cs="Calibri"/>
                <w:color w:val="000000"/>
                <w:sz w:val="18"/>
                <w:szCs w:val="18"/>
                <w:lang w:eastAsia="en-GB"/>
              </w:rPr>
            </w:pPr>
            <w:r w:rsidRPr="009A3D60">
              <w:rPr>
                <w:rFonts w:ascii="Calibri" w:eastAsia="Times New Roman" w:hAnsi="Calibri" w:cs="Calibri"/>
                <w:color w:val="000000"/>
                <w:sz w:val="18"/>
                <w:szCs w:val="18"/>
                <w:lang w:eastAsia="en-GB"/>
              </w:rPr>
              <w:t>x</w:t>
            </w:r>
          </w:p>
        </w:tc>
      </w:tr>
      <w:tr w:rsidR="005A5F70" w:rsidRPr="009A3D60" w14:paraId="7C01F70E" w14:textId="77777777" w:rsidTr="002467A6">
        <w:trPr>
          <w:trHeight w:val="240"/>
        </w:trPr>
        <w:tc>
          <w:tcPr>
            <w:tcW w:w="960" w:type="dxa"/>
            <w:tcBorders>
              <w:top w:val="nil"/>
              <w:left w:val="single" w:sz="4" w:space="0" w:color="auto"/>
              <w:bottom w:val="single" w:sz="4" w:space="0" w:color="auto"/>
              <w:right w:val="single" w:sz="4" w:space="0" w:color="auto"/>
            </w:tcBorders>
            <w:shd w:val="clear" w:color="auto" w:fill="auto"/>
            <w:noWrap/>
            <w:hideMark/>
          </w:tcPr>
          <w:p w14:paraId="29058F38" w14:textId="77777777" w:rsidR="005A5F70" w:rsidRPr="009A3D60" w:rsidRDefault="005A5F70" w:rsidP="002467A6">
            <w:pPr>
              <w:spacing w:after="0" w:line="240" w:lineRule="auto"/>
              <w:rPr>
                <w:rFonts w:ascii="Calibri" w:eastAsia="Times New Roman" w:hAnsi="Calibri" w:cs="Calibri"/>
                <w:color w:val="000000"/>
                <w:sz w:val="18"/>
                <w:szCs w:val="18"/>
                <w:lang w:eastAsia="en-GB"/>
              </w:rPr>
            </w:pPr>
            <w:r w:rsidRPr="009A3D60">
              <w:rPr>
                <w:rFonts w:ascii="Calibri" w:eastAsia="Times New Roman" w:hAnsi="Calibri" w:cs="Calibri"/>
                <w:color w:val="000000"/>
                <w:sz w:val="18"/>
                <w:szCs w:val="18"/>
                <w:lang w:eastAsia="en-GB"/>
              </w:rPr>
              <w:t>Arm Hill</w:t>
            </w:r>
          </w:p>
        </w:tc>
        <w:tc>
          <w:tcPr>
            <w:tcW w:w="1880" w:type="dxa"/>
            <w:tcBorders>
              <w:top w:val="nil"/>
              <w:left w:val="nil"/>
              <w:bottom w:val="single" w:sz="4" w:space="0" w:color="auto"/>
              <w:right w:val="single" w:sz="4" w:space="0" w:color="auto"/>
            </w:tcBorders>
            <w:shd w:val="clear" w:color="auto" w:fill="auto"/>
            <w:noWrap/>
            <w:hideMark/>
          </w:tcPr>
          <w:p w14:paraId="55540FEA" w14:textId="77777777" w:rsidR="005A5F70" w:rsidRPr="009A3D60" w:rsidRDefault="005A5F70" w:rsidP="002467A6">
            <w:pPr>
              <w:spacing w:after="0" w:line="240" w:lineRule="auto"/>
              <w:rPr>
                <w:rFonts w:ascii="Calibri" w:eastAsia="Times New Roman" w:hAnsi="Calibri" w:cs="Calibri"/>
                <w:color w:val="000000"/>
                <w:sz w:val="18"/>
                <w:szCs w:val="18"/>
                <w:lang w:eastAsia="en-GB"/>
              </w:rPr>
            </w:pPr>
            <w:proofErr w:type="spellStart"/>
            <w:r w:rsidRPr="009A3D60">
              <w:rPr>
                <w:rFonts w:ascii="Calibri" w:eastAsia="Times New Roman" w:hAnsi="Calibri" w:cs="Calibri"/>
                <w:color w:val="000000"/>
                <w:sz w:val="18"/>
                <w:szCs w:val="18"/>
                <w:lang w:eastAsia="en-GB"/>
              </w:rPr>
              <w:t>Preesall</w:t>
            </w:r>
            <w:proofErr w:type="spellEnd"/>
            <w:r w:rsidRPr="009A3D60">
              <w:rPr>
                <w:rFonts w:ascii="Calibri" w:eastAsia="Times New Roman" w:hAnsi="Calibri" w:cs="Calibri"/>
                <w:color w:val="000000"/>
                <w:sz w:val="18"/>
                <w:szCs w:val="18"/>
                <w:lang w:eastAsia="en-GB"/>
              </w:rPr>
              <w:t xml:space="preserve"> Halite</w:t>
            </w:r>
          </w:p>
        </w:tc>
        <w:tc>
          <w:tcPr>
            <w:tcW w:w="1480" w:type="dxa"/>
            <w:tcBorders>
              <w:top w:val="nil"/>
              <w:left w:val="nil"/>
              <w:bottom w:val="single" w:sz="4" w:space="0" w:color="auto"/>
              <w:right w:val="single" w:sz="4" w:space="0" w:color="auto"/>
            </w:tcBorders>
            <w:shd w:val="clear" w:color="auto" w:fill="auto"/>
            <w:noWrap/>
            <w:hideMark/>
          </w:tcPr>
          <w:p w14:paraId="14F3632B" w14:textId="77777777" w:rsidR="005A5F70" w:rsidRPr="009A3D60" w:rsidRDefault="005A5F70" w:rsidP="002467A6">
            <w:pPr>
              <w:spacing w:after="0" w:line="240" w:lineRule="auto"/>
              <w:rPr>
                <w:rFonts w:ascii="Calibri" w:eastAsia="Times New Roman" w:hAnsi="Calibri" w:cs="Calibri"/>
                <w:color w:val="000000"/>
                <w:sz w:val="18"/>
                <w:szCs w:val="18"/>
                <w:lang w:eastAsia="en-GB"/>
              </w:rPr>
            </w:pPr>
            <w:r w:rsidRPr="009A3D60">
              <w:rPr>
                <w:rFonts w:ascii="Calibri" w:eastAsia="Times New Roman" w:hAnsi="Calibri" w:cs="Calibri"/>
                <w:color w:val="000000"/>
                <w:sz w:val="18"/>
                <w:szCs w:val="18"/>
                <w:lang w:eastAsia="en-GB"/>
              </w:rPr>
              <w:t>Lancashire</w:t>
            </w:r>
          </w:p>
        </w:tc>
        <w:tc>
          <w:tcPr>
            <w:tcW w:w="1120" w:type="dxa"/>
            <w:tcBorders>
              <w:top w:val="nil"/>
              <w:left w:val="nil"/>
              <w:bottom w:val="single" w:sz="4" w:space="0" w:color="auto"/>
              <w:right w:val="single" w:sz="4" w:space="0" w:color="auto"/>
            </w:tcBorders>
            <w:shd w:val="clear" w:color="auto" w:fill="auto"/>
            <w:noWrap/>
            <w:hideMark/>
          </w:tcPr>
          <w:p w14:paraId="58303652" w14:textId="77777777" w:rsidR="005A5F70" w:rsidRPr="009A3D60" w:rsidRDefault="005A5F70" w:rsidP="002467A6">
            <w:pPr>
              <w:spacing w:after="0" w:line="240" w:lineRule="auto"/>
              <w:jc w:val="center"/>
              <w:rPr>
                <w:rFonts w:ascii="Calibri" w:eastAsia="Times New Roman" w:hAnsi="Calibri" w:cs="Calibri"/>
                <w:color w:val="000000"/>
                <w:sz w:val="18"/>
                <w:szCs w:val="18"/>
                <w:lang w:eastAsia="en-GB"/>
              </w:rPr>
            </w:pPr>
            <w:r w:rsidRPr="009A3D60">
              <w:rPr>
                <w:rFonts w:ascii="Calibri" w:eastAsia="Times New Roman" w:hAnsi="Calibri" w:cs="Calibri"/>
                <w:color w:val="000000"/>
                <w:sz w:val="18"/>
                <w:szCs w:val="18"/>
                <w:lang w:eastAsia="en-GB"/>
              </w:rPr>
              <w:t>M</w:t>
            </w:r>
          </w:p>
        </w:tc>
        <w:tc>
          <w:tcPr>
            <w:tcW w:w="960" w:type="dxa"/>
            <w:tcBorders>
              <w:top w:val="nil"/>
              <w:left w:val="nil"/>
              <w:bottom w:val="single" w:sz="4" w:space="0" w:color="auto"/>
              <w:right w:val="single" w:sz="4" w:space="0" w:color="auto"/>
            </w:tcBorders>
            <w:shd w:val="clear" w:color="auto" w:fill="auto"/>
            <w:noWrap/>
            <w:hideMark/>
          </w:tcPr>
          <w:p w14:paraId="4CA0CF7D" w14:textId="77777777" w:rsidR="005A5F70" w:rsidRPr="009A3D60" w:rsidRDefault="005A5F70" w:rsidP="002467A6">
            <w:pPr>
              <w:spacing w:after="0" w:line="240" w:lineRule="auto"/>
              <w:jc w:val="center"/>
              <w:rPr>
                <w:rFonts w:ascii="Calibri" w:eastAsia="Times New Roman" w:hAnsi="Calibri" w:cs="Calibri"/>
                <w:color w:val="000000"/>
                <w:sz w:val="18"/>
                <w:szCs w:val="18"/>
                <w:lang w:eastAsia="en-GB"/>
              </w:rPr>
            </w:pPr>
            <w:r w:rsidRPr="009A3D60">
              <w:rPr>
                <w:rFonts w:ascii="Calibri" w:eastAsia="Times New Roman" w:hAnsi="Calibri" w:cs="Calibri"/>
                <w:color w:val="000000"/>
                <w:sz w:val="18"/>
                <w:szCs w:val="18"/>
                <w:lang w:eastAsia="en-GB"/>
              </w:rPr>
              <w:t>x</w:t>
            </w:r>
          </w:p>
        </w:tc>
        <w:tc>
          <w:tcPr>
            <w:tcW w:w="1140" w:type="dxa"/>
            <w:tcBorders>
              <w:top w:val="nil"/>
              <w:left w:val="nil"/>
              <w:bottom w:val="single" w:sz="4" w:space="0" w:color="auto"/>
              <w:right w:val="single" w:sz="4" w:space="0" w:color="auto"/>
            </w:tcBorders>
            <w:shd w:val="clear" w:color="auto" w:fill="auto"/>
            <w:noWrap/>
            <w:hideMark/>
          </w:tcPr>
          <w:p w14:paraId="5044D73C" w14:textId="77777777" w:rsidR="005A5F70" w:rsidRPr="009A3D60" w:rsidRDefault="005A5F70" w:rsidP="002467A6">
            <w:pPr>
              <w:spacing w:after="0" w:line="240" w:lineRule="auto"/>
              <w:jc w:val="center"/>
              <w:rPr>
                <w:rFonts w:ascii="Calibri" w:eastAsia="Times New Roman" w:hAnsi="Calibri" w:cs="Calibri"/>
                <w:color w:val="000000"/>
                <w:sz w:val="18"/>
                <w:szCs w:val="18"/>
                <w:lang w:eastAsia="en-GB"/>
              </w:rPr>
            </w:pPr>
            <w:r w:rsidRPr="009A3D60">
              <w:rPr>
                <w:rFonts w:ascii="Calibri" w:eastAsia="Times New Roman" w:hAnsi="Calibri" w:cs="Calibri"/>
                <w:color w:val="000000"/>
                <w:sz w:val="18"/>
                <w:szCs w:val="18"/>
                <w:lang w:eastAsia="en-GB"/>
              </w:rPr>
              <w:t> </w:t>
            </w:r>
          </w:p>
        </w:tc>
      </w:tr>
      <w:tr w:rsidR="005A5F70" w:rsidRPr="009A3D60" w14:paraId="281D5684" w14:textId="77777777" w:rsidTr="002467A6">
        <w:trPr>
          <w:trHeight w:val="240"/>
        </w:trPr>
        <w:tc>
          <w:tcPr>
            <w:tcW w:w="960" w:type="dxa"/>
            <w:tcBorders>
              <w:top w:val="nil"/>
              <w:left w:val="single" w:sz="4" w:space="0" w:color="auto"/>
              <w:bottom w:val="single" w:sz="4" w:space="0" w:color="auto"/>
              <w:right w:val="single" w:sz="4" w:space="0" w:color="auto"/>
            </w:tcBorders>
            <w:shd w:val="clear" w:color="auto" w:fill="auto"/>
            <w:noWrap/>
            <w:hideMark/>
          </w:tcPr>
          <w:p w14:paraId="726FC141" w14:textId="77777777" w:rsidR="005A5F70" w:rsidRPr="009A3D60" w:rsidRDefault="005A5F70" w:rsidP="002467A6">
            <w:pPr>
              <w:spacing w:after="0" w:line="240" w:lineRule="auto"/>
              <w:rPr>
                <w:rFonts w:ascii="Calibri" w:eastAsia="Times New Roman" w:hAnsi="Calibri" w:cs="Calibri"/>
                <w:color w:val="000000"/>
                <w:sz w:val="18"/>
                <w:szCs w:val="18"/>
                <w:lang w:eastAsia="en-GB"/>
              </w:rPr>
            </w:pPr>
            <w:r w:rsidRPr="009A3D60">
              <w:rPr>
                <w:rFonts w:ascii="Calibri" w:eastAsia="Times New Roman" w:hAnsi="Calibri" w:cs="Calibri"/>
                <w:color w:val="000000"/>
                <w:sz w:val="18"/>
                <w:szCs w:val="18"/>
                <w:lang w:eastAsia="en-GB"/>
              </w:rPr>
              <w:t>Arm Hill</w:t>
            </w:r>
          </w:p>
        </w:tc>
        <w:tc>
          <w:tcPr>
            <w:tcW w:w="1880" w:type="dxa"/>
            <w:tcBorders>
              <w:top w:val="nil"/>
              <w:left w:val="nil"/>
              <w:bottom w:val="single" w:sz="4" w:space="0" w:color="auto"/>
              <w:right w:val="single" w:sz="4" w:space="0" w:color="auto"/>
            </w:tcBorders>
            <w:shd w:val="clear" w:color="auto" w:fill="auto"/>
            <w:noWrap/>
            <w:hideMark/>
          </w:tcPr>
          <w:p w14:paraId="4455CD7A" w14:textId="77777777" w:rsidR="005A5F70" w:rsidRPr="009A3D60" w:rsidRDefault="005A5F70" w:rsidP="002467A6">
            <w:pPr>
              <w:spacing w:after="0" w:line="240" w:lineRule="auto"/>
              <w:rPr>
                <w:rFonts w:ascii="Calibri" w:eastAsia="Times New Roman" w:hAnsi="Calibri" w:cs="Calibri"/>
                <w:color w:val="000000"/>
                <w:sz w:val="18"/>
                <w:szCs w:val="18"/>
                <w:lang w:eastAsia="en-GB"/>
              </w:rPr>
            </w:pPr>
            <w:proofErr w:type="spellStart"/>
            <w:r w:rsidRPr="009A3D60">
              <w:rPr>
                <w:rFonts w:ascii="Calibri" w:eastAsia="Times New Roman" w:hAnsi="Calibri" w:cs="Calibri"/>
                <w:color w:val="000000"/>
                <w:sz w:val="18"/>
                <w:szCs w:val="18"/>
                <w:lang w:eastAsia="en-GB"/>
              </w:rPr>
              <w:t>Preesall</w:t>
            </w:r>
            <w:proofErr w:type="spellEnd"/>
            <w:r w:rsidRPr="009A3D60">
              <w:rPr>
                <w:rFonts w:ascii="Calibri" w:eastAsia="Times New Roman" w:hAnsi="Calibri" w:cs="Calibri"/>
                <w:color w:val="000000"/>
                <w:sz w:val="18"/>
                <w:szCs w:val="18"/>
                <w:lang w:eastAsia="en-GB"/>
              </w:rPr>
              <w:t xml:space="preserve"> Halite</w:t>
            </w:r>
          </w:p>
        </w:tc>
        <w:tc>
          <w:tcPr>
            <w:tcW w:w="1480" w:type="dxa"/>
            <w:tcBorders>
              <w:top w:val="nil"/>
              <w:left w:val="nil"/>
              <w:bottom w:val="single" w:sz="4" w:space="0" w:color="auto"/>
              <w:right w:val="single" w:sz="4" w:space="0" w:color="auto"/>
            </w:tcBorders>
            <w:shd w:val="clear" w:color="auto" w:fill="auto"/>
            <w:noWrap/>
            <w:hideMark/>
          </w:tcPr>
          <w:p w14:paraId="2AB8ACB2" w14:textId="77777777" w:rsidR="005A5F70" w:rsidRPr="009A3D60" w:rsidRDefault="005A5F70" w:rsidP="002467A6">
            <w:pPr>
              <w:spacing w:after="0" w:line="240" w:lineRule="auto"/>
              <w:rPr>
                <w:rFonts w:ascii="Calibri" w:eastAsia="Times New Roman" w:hAnsi="Calibri" w:cs="Calibri"/>
                <w:color w:val="000000"/>
                <w:sz w:val="18"/>
                <w:szCs w:val="18"/>
                <w:lang w:eastAsia="en-GB"/>
              </w:rPr>
            </w:pPr>
            <w:r w:rsidRPr="009A3D60">
              <w:rPr>
                <w:rFonts w:ascii="Calibri" w:eastAsia="Times New Roman" w:hAnsi="Calibri" w:cs="Calibri"/>
                <w:color w:val="000000"/>
                <w:sz w:val="18"/>
                <w:szCs w:val="18"/>
                <w:lang w:eastAsia="en-GB"/>
              </w:rPr>
              <w:t>Lancashire</w:t>
            </w:r>
          </w:p>
        </w:tc>
        <w:tc>
          <w:tcPr>
            <w:tcW w:w="1120" w:type="dxa"/>
            <w:tcBorders>
              <w:top w:val="nil"/>
              <w:left w:val="nil"/>
              <w:bottom w:val="single" w:sz="4" w:space="0" w:color="auto"/>
              <w:right w:val="single" w:sz="4" w:space="0" w:color="auto"/>
            </w:tcBorders>
            <w:shd w:val="clear" w:color="auto" w:fill="auto"/>
            <w:noWrap/>
            <w:hideMark/>
          </w:tcPr>
          <w:p w14:paraId="09C5E74F" w14:textId="77777777" w:rsidR="005A5F70" w:rsidRPr="009A3D60" w:rsidRDefault="005A5F70" w:rsidP="002467A6">
            <w:pPr>
              <w:spacing w:after="0" w:line="240" w:lineRule="auto"/>
              <w:jc w:val="center"/>
              <w:rPr>
                <w:rFonts w:ascii="Calibri" w:eastAsia="Times New Roman" w:hAnsi="Calibri" w:cs="Calibri"/>
                <w:color w:val="000000"/>
                <w:sz w:val="18"/>
                <w:szCs w:val="18"/>
                <w:lang w:eastAsia="en-GB"/>
              </w:rPr>
            </w:pPr>
            <w:r w:rsidRPr="009A3D60">
              <w:rPr>
                <w:rFonts w:ascii="Calibri" w:eastAsia="Times New Roman" w:hAnsi="Calibri" w:cs="Calibri"/>
                <w:color w:val="000000"/>
                <w:sz w:val="18"/>
                <w:szCs w:val="18"/>
                <w:lang w:eastAsia="en-GB"/>
              </w:rPr>
              <w:t>PFM</w:t>
            </w:r>
          </w:p>
        </w:tc>
        <w:tc>
          <w:tcPr>
            <w:tcW w:w="960" w:type="dxa"/>
            <w:tcBorders>
              <w:top w:val="nil"/>
              <w:left w:val="nil"/>
              <w:bottom w:val="single" w:sz="4" w:space="0" w:color="auto"/>
              <w:right w:val="single" w:sz="4" w:space="0" w:color="auto"/>
            </w:tcBorders>
            <w:shd w:val="clear" w:color="auto" w:fill="auto"/>
            <w:noWrap/>
            <w:hideMark/>
          </w:tcPr>
          <w:p w14:paraId="08476F7C" w14:textId="77777777" w:rsidR="005A5F70" w:rsidRPr="009A3D60" w:rsidRDefault="005A5F70" w:rsidP="002467A6">
            <w:pPr>
              <w:spacing w:after="0" w:line="240" w:lineRule="auto"/>
              <w:jc w:val="center"/>
              <w:rPr>
                <w:rFonts w:ascii="Calibri" w:eastAsia="Times New Roman" w:hAnsi="Calibri" w:cs="Calibri"/>
                <w:color w:val="000000"/>
                <w:sz w:val="18"/>
                <w:szCs w:val="18"/>
                <w:lang w:eastAsia="en-GB"/>
              </w:rPr>
            </w:pPr>
            <w:r w:rsidRPr="009A3D60">
              <w:rPr>
                <w:rFonts w:ascii="Calibri" w:eastAsia="Times New Roman" w:hAnsi="Calibri" w:cs="Calibri"/>
                <w:color w:val="000000"/>
                <w:sz w:val="18"/>
                <w:szCs w:val="18"/>
                <w:lang w:eastAsia="en-GB"/>
              </w:rPr>
              <w:t>x</w:t>
            </w:r>
          </w:p>
        </w:tc>
        <w:tc>
          <w:tcPr>
            <w:tcW w:w="1140" w:type="dxa"/>
            <w:tcBorders>
              <w:top w:val="nil"/>
              <w:left w:val="nil"/>
              <w:bottom w:val="single" w:sz="4" w:space="0" w:color="auto"/>
              <w:right w:val="single" w:sz="4" w:space="0" w:color="auto"/>
            </w:tcBorders>
            <w:shd w:val="clear" w:color="auto" w:fill="auto"/>
            <w:noWrap/>
            <w:hideMark/>
          </w:tcPr>
          <w:p w14:paraId="378C9AD9" w14:textId="77777777" w:rsidR="005A5F70" w:rsidRPr="009A3D60" w:rsidRDefault="005A5F70" w:rsidP="002467A6">
            <w:pPr>
              <w:spacing w:after="0" w:line="240" w:lineRule="auto"/>
              <w:jc w:val="center"/>
              <w:rPr>
                <w:rFonts w:ascii="Calibri" w:eastAsia="Times New Roman" w:hAnsi="Calibri" w:cs="Calibri"/>
                <w:color w:val="000000"/>
                <w:sz w:val="18"/>
                <w:szCs w:val="18"/>
                <w:lang w:eastAsia="en-GB"/>
              </w:rPr>
            </w:pPr>
            <w:r w:rsidRPr="009A3D60">
              <w:rPr>
                <w:rFonts w:ascii="Calibri" w:eastAsia="Times New Roman" w:hAnsi="Calibri" w:cs="Calibri"/>
                <w:color w:val="000000"/>
                <w:sz w:val="18"/>
                <w:szCs w:val="18"/>
                <w:lang w:eastAsia="en-GB"/>
              </w:rPr>
              <w:t> </w:t>
            </w:r>
          </w:p>
        </w:tc>
      </w:tr>
      <w:tr w:rsidR="005A5F70" w:rsidRPr="009A3D60" w14:paraId="71038F84" w14:textId="77777777" w:rsidTr="002467A6">
        <w:trPr>
          <w:trHeight w:val="240"/>
        </w:trPr>
        <w:tc>
          <w:tcPr>
            <w:tcW w:w="960" w:type="dxa"/>
            <w:tcBorders>
              <w:top w:val="nil"/>
              <w:left w:val="single" w:sz="4" w:space="0" w:color="auto"/>
              <w:bottom w:val="single" w:sz="4" w:space="0" w:color="auto"/>
              <w:right w:val="single" w:sz="4" w:space="0" w:color="auto"/>
            </w:tcBorders>
            <w:shd w:val="clear" w:color="auto" w:fill="auto"/>
            <w:noWrap/>
            <w:hideMark/>
          </w:tcPr>
          <w:p w14:paraId="088CDE13" w14:textId="77777777" w:rsidR="005A5F70" w:rsidRPr="009A3D60" w:rsidRDefault="005A5F70" w:rsidP="002467A6">
            <w:pPr>
              <w:spacing w:after="0" w:line="240" w:lineRule="auto"/>
              <w:rPr>
                <w:rFonts w:ascii="Calibri" w:eastAsia="Times New Roman" w:hAnsi="Calibri" w:cs="Calibri"/>
                <w:color w:val="000000"/>
                <w:sz w:val="18"/>
                <w:szCs w:val="18"/>
                <w:lang w:eastAsia="en-GB"/>
              </w:rPr>
            </w:pPr>
            <w:r w:rsidRPr="009A3D60">
              <w:rPr>
                <w:rFonts w:ascii="Calibri" w:eastAsia="Times New Roman" w:hAnsi="Calibri" w:cs="Calibri"/>
                <w:color w:val="000000"/>
                <w:sz w:val="18"/>
                <w:szCs w:val="18"/>
                <w:lang w:eastAsia="en-GB"/>
              </w:rPr>
              <w:t>Arm Hill</w:t>
            </w:r>
          </w:p>
        </w:tc>
        <w:tc>
          <w:tcPr>
            <w:tcW w:w="1880" w:type="dxa"/>
            <w:tcBorders>
              <w:top w:val="nil"/>
              <w:left w:val="nil"/>
              <w:bottom w:val="single" w:sz="4" w:space="0" w:color="auto"/>
              <w:right w:val="single" w:sz="4" w:space="0" w:color="auto"/>
            </w:tcBorders>
            <w:shd w:val="clear" w:color="auto" w:fill="auto"/>
            <w:noWrap/>
            <w:hideMark/>
          </w:tcPr>
          <w:p w14:paraId="1F302365" w14:textId="77777777" w:rsidR="005A5F70" w:rsidRPr="009A3D60" w:rsidRDefault="005A5F70" w:rsidP="002467A6">
            <w:pPr>
              <w:spacing w:after="0" w:line="240" w:lineRule="auto"/>
              <w:rPr>
                <w:rFonts w:ascii="Calibri" w:eastAsia="Times New Roman" w:hAnsi="Calibri" w:cs="Calibri"/>
                <w:color w:val="000000"/>
                <w:sz w:val="18"/>
                <w:szCs w:val="18"/>
                <w:lang w:eastAsia="en-GB"/>
              </w:rPr>
            </w:pPr>
            <w:proofErr w:type="spellStart"/>
            <w:r w:rsidRPr="009A3D60">
              <w:rPr>
                <w:rFonts w:ascii="Calibri" w:eastAsia="Times New Roman" w:hAnsi="Calibri" w:cs="Calibri"/>
                <w:color w:val="000000"/>
                <w:sz w:val="18"/>
                <w:szCs w:val="18"/>
                <w:lang w:eastAsia="en-GB"/>
              </w:rPr>
              <w:t>Preesall</w:t>
            </w:r>
            <w:proofErr w:type="spellEnd"/>
            <w:r w:rsidRPr="009A3D60">
              <w:rPr>
                <w:rFonts w:ascii="Calibri" w:eastAsia="Times New Roman" w:hAnsi="Calibri" w:cs="Calibri"/>
                <w:color w:val="000000"/>
                <w:sz w:val="18"/>
                <w:szCs w:val="18"/>
                <w:lang w:eastAsia="en-GB"/>
              </w:rPr>
              <w:t xml:space="preserve"> Halite</w:t>
            </w:r>
          </w:p>
        </w:tc>
        <w:tc>
          <w:tcPr>
            <w:tcW w:w="1480" w:type="dxa"/>
            <w:tcBorders>
              <w:top w:val="nil"/>
              <w:left w:val="nil"/>
              <w:bottom w:val="single" w:sz="4" w:space="0" w:color="auto"/>
              <w:right w:val="single" w:sz="4" w:space="0" w:color="auto"/>
            </w:tcBorders>
            <w:shd w:val="clear" w:color="auto" w:fill="auto"/>
            <w:noWrap/>
            <w:hideMark/>
          </w:tcPr>
          <w:p w14:paraId="14CA9EC7" w14:textId="77777777" w:rsidR="005A5F70" w:rsidRPr="009A3D60" w:rsidRDefault="005A5F70" w:rsidP="002467A6">
            <w:pPr>
              <w:spacing w:after="0" w:line="240" w:lineRule="auto"/>
              <w:rPr>
                <w:rFonts w:ascii="Calibri" w:eastAsia="Times New Roman" w:hAnsi="Calibri" w:cs="Calibri"/>
                <w:color w:val="000000"/>
                <w:sz w:val="18"/>
                <w:szCs w:val="18"/>
                <w:lang w:eastAsia="en-GB"/>
              </w:rPr>
            </w:pPr>
            <w:r w:rsidRPr="009A3D60">
              <w:rPr>
                <w:rFonts w:ascii="Calibri" w:eastAsia="Times New Roman" w:hAnsi="Calibri" w:cs="Calibri"/>
                <w:color w:val="000000"/>
                <w:sz w:val="18"/>
                <w:szCs w:val="18"/>
                <w:lang w:eastAsia="en-GB"/>
              </w:rPr>
              <w:t>Lancashire</w:t>
            </w:r>
          </w:p>
        </w:tc>
        <w:tc>
          <w:tcPr>
            <w:tcW w:w="1120" w:type="dxa"/>
            <w:tcBorders>
              <w:top w:val="nil"/>
              <w:left w:val="nil"/>
              <w:bottom w:val="single" w:sz="4" w:space="0" w:color="auto"/>
              <w:right w:val="single" w:sz="4" w:space="0" w:color="auto"/>
            </w:tcBorders>
            <w:shd w:val="clear" w:color="auto" w:fill="auto"/>
            <w:noWrap/>
            <w:hideMark/>
          </w:tcPr>
          <w:p w14:paraId="3C39FDE7" w14:textId="77777777" w:rsidR="005A5F70" w:rsidRPr="009A3D60" w:rsidRDefault="005A5F70" w:rsidP="002467A6">
            <w:pPr>
              <w:spacing w:after="0" w:line="240" w:lineRule="auto"/>
              <w:jc w:val="center"/>
              <w:rPr>
                <w:rFonts w:ascii="Calibri" w:eastAsia="Times New Roman" w:hAnsi="Calibri" w:cs="Calibri"/>
                <w:color w:val="000000"/>
                <w:sz w:val="18"/>
                <w:szCs w:val="18"/>
                <w:lang w:eastAsia="en-GB"/>
              </w:rPr>
            </w:pPr>
            <w:r w:rsidRPr="009A3D60">
              <w:rPr>
                <w:rFonts w:ascii="Calibri" w:eastAsia="Times New Roman" w:hAnsi="Calibri" w:cs="Calibri"/>
                <w:color w:val="000000"/>
                <w:sz w:val="18"/>
                <w:szCs w:val="18"/>
                <w:lang w:eastAsia="en-GB"/>
              </w:rPr>
              <w:t>PFM</w:t>
            </w:r>
          </w:p>
        </w:tc>
        <w:tc>
          <w:tcPr>
            <w:tcW w:w="960" w:type="dxa"/>
            <w:tcBorders>
              <w:top w:val="nil"/>
              <w:left w:val="nil"/>
              <w:bottom w:val="single" w:sz="4" w:space="0" w:color="auto"/>
              <w:right w:val="single" w:sz="4" w:space="0" w:color="auto"/>
            </w:tcBorders>
            <w:shd w:val="clear" w:color="auto" w:fill="auto"/>
            <w:noWrap/>
            <w:hideMark/>
          </w:tcPr>
          <w:p w14:paraId="17CE56F2" w14:textId="77777777" w:rsidR="005A5F70" w:rsidRPr="009A3D60" w:rsidRDefault="005A5F70" w:rsidP="002467A6">
            <w:pPr>
              <w:spacing w:after="0" w:line="240" w:lineRule="auto"/>
              <w:jc w:val="center"/>
              <w:rPr>
                <w:rFonts w:ascii="Calibri" w:eastAsia="Times New Roman" w:hAnsi="Calibri" w:cs="Calibri"/>
                <w:color w:val="000000"/>
                <w:sz w:val="18"/>
                <w:szCs w:val="18"/>
                <w:lang w:eastAsia="en-GB"/>
              </w:rPr>
            </w:pPr>
            <w:r w:rsidRPr="009A3D60">
              <w:rPr>
                <w:rFonts w:ascii="Calibri" w:eastAsia="Times New Roman" w:hAnsi="Calibri" w:cs="Calibri"/>
                <w:color w:val="000000"/>
                <w:sz w:val="18"/>
                <w:szCs w:val="18"/>
                <w:lang w:eastAsia="en-GB"/>
              </w:rPr>
              <w:t> </w:t>
            </w:r>
          </w:p>
        </w:tc>
        <w:tc>
          <w:tcPr>
            <w:tcW w:w="1140" w:type="dxa"/>
            <w:tcBorders>
              <w:top w:val="nil"/>
              <w:left w:val="nil"/>
              <w:bottom w:val="single" w:sz="4" w:space="0" w:color="auto"/>
              <w:right w:val="single" w:sz="4" w:space="0" w:color="auto"/>
            </w:tcBorders>
            <w:shd w:val="clear" w:color="auto" w:fill="auto"/>
            <w:noWrap/>
            <w:hideMark/>
          </w:tcPr>
          <w:p w14:paraId="61EA3517" w14:textId="77777777" w:rsidR="005A5F70" w:rsidRPr="009A3D60" w:rsidRDefault="005A5F70" w:rsidP="002467A6">
            <w:pPr>
              <w:spacing w:after="0" w:line="240" w:lineRule="auto"/>
              <w:jc w:val="center"/>
              <w:rPr>
                <w:rFonts w:ascii="Calibri" w:eastAsia="Times New Roman" w:hAnsi="Calibri" w:cs="Calibri"/>
                <w:color w:val="000000"/>
                <w:sz w:val="18"/>
                <w:szCs w:val="18"/>
                <w:lang w:eastAsia="en-GB"/>
              </w:rPr>
            </w:pPr>
            <w:r w:rsidRPr="009A3D60">
              <w:rPr>
                <w:rFonts w:ascii="Calibri" w:eastAsia="Times New Roman" w:hAnsi="Calibri" w:cs="Calibri"/>
                <w:color w:val="000000"/>
                <w:sz w:val="18"/>
                <w:szCs w:val="18"/>
                <w:lang w:eastAsia="en-GB"/>
              </w:rPr>
              <w:t>x</w:t>
            </w:r>
          </w:p>
        </w:tc>
      </w:tr>
      <w:tr w:rsidR="005A5F70" w:rsidRPr="009A3D60" w14:paraId="2062ADCB" w14:textId="77777777" w:rsidTr="002467A6">
        <w:trPr>
          <w:trHeight w:val="240"/>
        </w:trPr>
        <w:tc>
          <w:tcPr>
            <w:tcW w:w="960" w:type="dxa"/>
            <w:tcBorders>
              <w:top w:val="nil"/>
              <w:left w:val="single" w:sz="4" w:space="0" w:color="auto"/>
              <w:bottom w:val="single" w:sz="4" w:space="0" w:color="auto"/>
              <w:right w:val="single" w:sz="4" w:space="0" w:color="auto"/>
            </w:tcBorders>
            <w:shd w:val="clear" w:color="auto" w:fill="auto"/>
            <w:noWrap/>
            <w:hideMark/>
          </w:tcPr>
          <w:p w14:paraId="30A5A4D4" w14:textId="77777777" w:rsidR="005A5F70" w:rsidRPr="009A3D60" w:rsidRDefault="005A5F70" w:rsidP="002467A6">
            <w:pPr>
              <w:spacing w:after="0" w:line="240" w:lineRule="auto"/>
              <w:rPr>
                <w:rFonts w:ascii="Calibri" w:eastAsia="Times New Roman" w:hAnsi="Calibri" w:cs="Calibri"/>
                <w:color w:val="000000"/>
                <w:sz w:val="18"/>
                <w:szCs w:val="18"/>
                <w:lang w:eastAsia="en-GB"/>
              </w:rPr>
            </w:pPr>
            <w:r w:rsidRPr="009A3D60">
              <w:rPr>
                <w:rFonts w:ascii="Calibri" w:eastAsia="Times New Roman" w:hAnsi="Calibri" w:cs="Calibri"/>
                <w:color w:val="000000"/>
                <w:sz w:val="18"/>
                <w:szCs w:val="18"/>
                <w:lang w:eastAsia="en-GB"/>
              </w:rPr>
              <w:t>Arm Hill</w:t>
            </w:r>
          </w:p>
        </w:tc>
        <w:tc>
          <w:tcPr>
            <w:tcW w:w="1880" w:type="dxa"/>
            <w:tcBorders>
              <w:top w:val="nil"/>
              <w:left w:val="nil"/>
              <w:bottom w:val="single" w:sz="4" w:space="0" w:color="auto"/>
              <w:right w:val="single" w:sz="4" w:space="0" w:color="auto"/>
            </w:tcBorders>
            <w:shd w:val="clear" w:color="auto" w:fill="auto"/>
            <w:noWrap/>
            <w:hideMark/>
          </w:tcPr>
          <w:p w14:paraId="5DB125D1" w14:textId="77777777" w:rsidR="005A5F70" w:rsidRPr="009A3D60" w:rsidRDefault="005A5F70" w:rsidP="002467A6">
            <w:pPr>
              <w:spacing w:after="0" w:line="240" w:lineRule="auto"/>
              <w:rPr>
                <w:rFonts w:ascii="Calibri" w:eastAsia="Times New Roman" w:hAnsi="Calibri" w:cs="Calibri"/>
                <w:color w:val="000000"/>
                <w:sz w:val="18"/>
                <w:szCs w:val="18"/>
                <w:lang w:eastAsia="en-GB"/>
              </w:rPr>
            </w:pPr>
            <w:proofErr w:type="spellStart"/>
            <w:r w:rsidRPr="009A3D60">
              <w:rPr>
                <w:rFonts w:ascii="Calibri" w:eastAsia="Times New Roman" w:hAnsi="Calibri" w:cs="Calibri"/>
                <w:color w:val="000000"/>
                <w:sz w:val="18"/>
                <w:szCs w:val="18"/>
                <w:lang w:eastAsia="en-GB"/>
              </w:rPr>
              <w:t>Preesall</w:t>
            </w:r>
            <w:proofErr w:type="spellEnd"/>
            <w:r w:rsidRPr="009A3D60">
              <w:rPr>
                <w:rFonts w:ascii="Calibri" w:eastAsia="Times New Roman" w:hAnsi="Calibri" w:cs="Calibri"/>
                <w:color w:val="000000"/>
                <w:sz w:val="18"/>
                <w:szCs w:val="18"/>
                <w:lang w:eastAsia="en-GB"/>
              </w:rPr>
              <w:t xml:space="preserve"> Halite</w:t>
            </w:r>
          </w:p>
        </w:tc>
        <w:tc>
          <w:tcPr>
            <w:tcW w:w="1480" w:type="dxa"/>
            <w:tcBorders>
              <w:top w:val="nil"/>
              <w:left w:val="nil"/>
              <w:bottom w:val="single" w:sz="4" w:space="0" w:color="auto"/>
              <w:right w:val="single" w:sz="4" w:space="0" w:color="auto"/>
            </w:tcBorders>
            <w:shd w:val="clear" w:color="auto" w:fill="auto"/>
            <w:noWrap/>
            <w:hideMark/>
          </w:tcPr>
          <w:p w14:paraId="7004A3BB" w14:textId="77777777" w:rsidR="005A5F70" w:rsidRPr="009A3D60" w:rsidRDefault="005A5F70" w:rsidP="002467A6">
            <w:pPr>
              <w:spacing w:after="0" w:line="240" w:lineRule="auto"/>
              <w:rPr>
                <w:rFonts w:ascii="Calibri" w:eastAsia="Times New Roman" w:hAnsi="Calibri" w:cs="Calibri"/>
                <w:color w:val="000000"/>
                <w:sz w:val="18"/>
                <w:szCs w:val="18"/>
                <w:lang w:eastAsia="en-GB"/>
              </w:rPr>
            </w:pPr>
            <w:r w:rsidRPr="009A3D60">
              <w:rPr>
                <w:rFonts w:ascii="Calibri" w:eastAsia="Times New Roman" w:hAnsi="Calibri" w:cs="Calibri"/>
                <w:color w:val="000000"/>
                <w:sz w:val="18"/>
                <w:szCs w:val="18"/>
                <w:lang w:eastAsia="en-GB"/>
              </w:rPr>
              <w:t>Lancashire</w:t>
            </w:r>
          </w:p>
        </w:tc>
        <w:tc>
          <w:tcPr>
            <w:tcW w:w="1120" w:type="dxa"/>
            <w:tcBorders>
              <w:top w:val="nil"/>
              <w:left w:val="nil"/>
              <w:bottom w:val="single" w:sz="4" w:space="0" w:color="auto"/>
              <w:right w:val="single" w:sz="4" w:space="0" w:color="auto"/>
            </w:tcBorders>
            <w:shd w:val="clear" w:color="auto" w:fill="auto"/>
            <w:noWrap/>
            <w:hideMark/>
          </w:tcPr>
          <w:p w14:paraId="7D0A30D8" w14:textId="77777777" w:rsidR="005A5F70" w:rsidRPr="009A3D60" w:rsidRDefault="005A5F70" w:rsidP="002467A6">
            <w:pPr>
              <w:spacing w:after="0" w:line="240" w:lineRule="auto"/>
              <w:jc w:val="center"/>
              <w:rPr>
                <w:rFonts w:ascii="Calibri" w:eastAsia="Times New Roman" w:hAnsi="Calibri" w:cs="Calibri"/>
                <w:color w:val="000000"/>
                <w:sz w:val="18"/>
                <w:szCs w:val="18"/>
                <w:lang w:eastAsia="en-GB"/>
              </w:rPr>
            </w:pPr>
            <w:r w:rsidRPr="009A3D60">
              <w:rPr>
                <w:rFonts w:ascii="Calibri" w:eastAsia="Times New Roman" w:hAnsi="Calibri" w:cs="Calibri"/>
                <w:color w:val="000000"/>
                <w:sz w:val="18"/>
                <w:szCs w:val="18"/>
                <w:lang w:eastAsia="en-GB"/>
              </w:rPr>
              <w:t>CW</w:t>
            </w:r>
          </w:p>
        </w:tc>
        <w:tc>
          <w:tcPr>
            <w:tcW w:w="960" w:type="dxa"/>
            <w:tcBorders>
              <w:top w:val="nil"/>
              <w:left w:val="nil"/>
              <w:bottom w:val="single" w:sz="4" w:space="0" w:color="auto"/>
              <w:right w:val="single" w:sz="4" w:space="0" w:color="auto"/>
            </w:tcBorders>
            <w:shd w:val="clear" w:color="auto" w:fill="auto"/>
            <w:noWrap/>
            <w:hideMark/>
          </w:tcPr>
          <w:p w14:paraId="0B00CEAD" w14:textId="77777777" w:rsidR="005A5F70" w:rsidRPr="009A3D60" w:rsidRDefault="005A5F70" w:rsidP="002467A6">
            <w:pPr>
              <w:spacing w:after="0" w:line="240" w:lineRule="auto"/>
              <w:jc w:val="center"/>
              <w:rPr>
                <w:rFonts w:ascii="Calibri" w:eastAsia="Times New Roman" w:hAnsi="Calibri" w:cs="Calibri"/>
                <w:color w:val="000000"/>
                <w:sz w:val="18"/>
                <w:szCs w:val="18"/>
                <w:lang w:eastAsia="en-GB"/>
              </w:rPr>
            </w:pPr>
            <w:r w:rsidRPr="009A3D60">
              <w:rPr>
                <w:rFonts w:ascii="Calibri" w:eastAsia="Times New Roman" w:hAnsi="Calibri" w:cs="Calibri"/>
                <w:color w:val="000000"/>
                <w:sz w:val="18"/>
                <w:szCs w:val="18"/>
                <w:lang w:eastAsia="en-GB"/>
              </w:rPr>
              <w:t>x</w:t>
            </w:r>
          </w:p>
        </w:tc>
        <w:tc>
          <w:tcPr>
            <w:tcW w:w="1140" w:type="dxa"/>
            <w:tcBorders>
              <w:top w:val="nil"/>
              <w:left w:val="nil"/>
              <w:bottom w:val="single" w:sz="4" w:space="0" w:color="auto"/>
              <w:right w:val="single" w:sz="4" w:space="0" w:color="auto"/>
            </w:tcBorders>
            <w:shd w:val="clear" w:color="auto" w:fill="auto"/>
            <w:noWrap/>
            <w:hideMark/>
          </w:tcPr>
          <w:p w14:paraId="39056E3B" w14:textId="77777777" w:rsidR="005A5F70" w:rsidRPr="009A3D60" w:rsidRDefault="005A5F70" w:rsidP="002467A6">
            <w:pPr>
              <w:spacing w:after="0" w:line="240" w:lineRule="auto"/>
              <w:jc w:val="center"/>
              <w:rPr>
                <w:rFonts w:ascii="Calibri" w:eastAsia="Times New Roman" w:hAnsi="Calibri" w:cs="Calibri"/>
                <w:color w:val="000000"/>
                <w:sz w:val="18"/>
                <w:szCs w:val="18"/>
                <w:lang w:eastAsia="en-GB"/>
              </w:rPr>
            </w:pPr>
            <w:r w:rsidRPr="009A3D60">
              <w:rPr>
                <w:rFonts w:ascii="Calibri" w:eastAsia="Times New Roman" w:hAnsi="Calibri" w:cs="Calibri"/>
                <w:color w:val="000000"/>
                <w:sz w:val="18"/>
                <w:szCs w:val="18"/>
                <w:lang w:eastAsia="en-GB"/>
              </w:rPr>
              <w:t> </w:t>
            </w:r>
          </w:p>
        </w:tc>
      </w:tr>
      <w:tr w:rsidR="005A5F70" w:rsidRPr="009A3D60" w14:paraId="4EFA4475" w14:textId="77777777" w:rsidTr="002467A6">
        <w:trPr>
          <w:trHeight w:val="240"/>
        </w:trPr>
        <w:tc>
          <w:tcPr>
            <w:tcW w:w="960" w:type="dxa"/>
            <w:tcBorders>
              <w:top w:val="nil"/>
              <w:left w:val="single" w:sz="4" w:space="0" w:color="auto"/>
              <w:bottom w:val="single" w:sz="4" w:space="0" w:color="auto"/>
              <w:right w:val="single" w:sz="4" w:space="0" w:color="auto"/>
            </w:tcBorders>
            <w:shd w:val="clear" w:color="auto" w:fill="auto"/>
            <w:noWrap/>
            <w:hideMark/>
          </w:tcPr>
          <w:p w14:paraId="04B20EDB" w14:textId="77777777" w:rsidR="005A5F70" w:rsidRPr="009A3D60" w:rsidRDefault="005A5F70" w:rsidP="002467A6">
            <w:pPr>
              <w:spacing w:after="0" w:line="240" w:lineRule="auto"/>
              <w:rPr>
                <w:rFonts w:ascii="Calibri" w:eastAsia="Times New Roman" w:hAnsi="Calibri" w:cs="Calibri"/>
                <w:color w:val="000000"/>
                <w:sz w:val="18"/>
                <w:szCs w:val="18"/>
                <w:lang w:eastAsia="en-GB"/>
              </w:rPr>
            </w:pPr>
            <w:r w:rsidRPr="009A3D60">
              <w:rPr>
                <w:rFonts w:ascii="Calibri" w:eastAsia="Times New Roman" w:hAnsi="Calibri" w:cs="Calibri"/>
                <w:color w:val="000000"/>
                <w:sz w:val="18"/>
                <w:szCs w:val="18"/>
                <w:lang w:eastAsia="en-GB"/>
              </w:rPr>
              <w:t>Arm Hill</w:t>
            </w:r>
          </w:p>
        </w:tc>
        <w:tc>
          <w:tcPr>
            <w:tcW w:w="1880" w:type="dxa"/>
            <w:tcBorders>
              <w:top w:val="nil"/>
              <w:left w:val="nil"/>
              <w:bottom w:val="single" w:sz="4" w:space="0" w:color="auto"/>
              <w:right w:val="single" w:sz="4" w:space="0" w:color="auto"/>
            </w:tcBorders>
            <w:shd w:val="clear" w:color="auto" w:fill="auto"/>
            <w:noWrap/>
            <w:hideMark/>
          </w:tcPr>
          <w:p w14:paraId="3DF08D53" w14:textId="77777777" w:rsidR="005A5F70" w:rsidRPr="009A3D60" w:rsidRDefault="005A5F70" w:rsidP="002467A6">
            <w:pPr>
              <w:spacing w:after="0" w:line="240" w:lineRule="auto"/>
              <w:rPr>
                <w:rFonts w:ascii="Calibri" w:eastAsia="Times New Roman" w:hAnsi="Calibri" w:cs="Calibri"/>
                <w:color w:val="000000"/>
                <w:sz w:val="18"/>
                <w:szCs w:val="18"/>
                <w:lang w:eastAsia="en-GB"/>
              </w:rPr>
            </w:pPr>
            <w:proofErr w:type="spellStart"/>
            <w:r w:rsidRPr="009A3D60">
              <w:rPr>
                <w:rFonts w:ascii="Calibri" w:eastAsia="Times New Roman" w:hAnsi="Calibri" w:cs="Calibri"/>
                <w:color w:val="000000"/>
                <w:sz w:val="18"/>
                <w:szCs w:val="18"/>
                <w:lang w:eastAsia="en-GB"/>
              </w:rPr>
              <w:t>Preesall</w:t>
            </w:r>
            <w:proofErr w:type="spellEnd"/>
            <w:r w:rsidRPr="009A3D60">
              <w:rPr>
                <w:rFonts w:ascii="Calibri" w:eastAsia="Times New Roman" w:hAnsi="Calibri" w:cs="Calibri"/>
                <w:color w:val="000000"/>
                <w:sz w:val="18"/>
                <w:szCs w:val="18"/>
                <w:lang w:eastAsia="en-GB"/>
              </w:rPr>
              <w:t xml:space="preserve"> Halite</w:t>
            </w:r>
          </w:p>
        </w:tc>
        <w:tc>
          <w:tcPr>
            <w:tcW w:w="1480" w:type="dxa"/>
            <w:tcBorders>
              <w:top w:val="nil"/>
              <w:left w:val="nil"/>
              <w:bottom w:val="single" w:sz="4" w:space="0" w:color="auto"/>
              <w:right w:val="single" w:sz="4" w:space="0" w:color="auto"/>
            </w:tcBorders>
            <w:shd w:val="clear" w:color="auto" w:fill="auto"/>
            <w:noWrap/>
            <w:hideMark/>
          </w:tcPr>
          <w:p w14:paraId="506A719B" w14:textId="77777777" w:rsidR="005A5F70" w:rsidRPr="009A3D60" w:rsidRDefault="005A5F70" w:rsidP="002467A6">
            <w:pPr>
              <w:spacing w:after="0" w:line="240" w:lineRule="auto"/>
              <w:rPr>
                <w:rFonts w:ascii="Calibri" w:eastAsia="Times New Roman" w:hAnsi="Calibri" w:cs="Calibri"/>
                <w:color w:val="000000"/>
                <w:sz w:val="18"/>
                <w:szCs w:val="18"/>
                <w:lang w:eastAsia="en-GB"/>
              </w:rPr>
            </w:pPr>
            <w:r w:rsidRPr="009A3D60">
              <w:rPr>
                <w:rFonts w:ascii="Calibri" w:eastAsia="Times New Roman" w:hAnsi="Calibri" w:cs="Calibri"/>
                <w:color w:val="000000"/>
                <w:sz w:val="18"/>
                <w:szCs w:val="18"/>
                <w:lang w:eastAsia="en-GB"/>
              </w:rPr>
              <w:t>Lancashire</w:t>
            </w:r>
          </w:p>
        </w:tc>
        <w:tc>
          <w:tcPr>
            <w:tcW w:w="1120" w:type="dxa"/>
            <w:tcBorders>
              <w:top w:val="nil"/>
              <w:left w:val="nil"/>
              <w:bottom w:val="single" w:sz="4" w:space="0" w:color="auto"/>
              <w:right w:val="single" w:sz="4" w:space="0" w:color="auto"/>
            </w:tcBorders>
            <w:shd w:val="clear" w:color="auto" w:fill="auto"/>
            <w:noWrap/>
            <w:hideMark/>
          </w:tcPr>
          <w:p w14:paraId="1E9539F4" w14:textId="77777777" w:rsidR="005A5F70" w:rsidRPr="009A3D60" w:rsidRDefault="005A5F70" w:rsidP="002467A6">
            <w:pPr>
              <w:spacing w:after="0" w:line="240" w:lineRule="auto"/>
              <w:jc w:val="center"/>
              <w:rPr>
                <w:rFonts w:ascii="Calibri" w:eastAsia="Times New Roman" w:hAnsi="Calibri" w:cs="Calibri"/>
                <w:color w:val="000000"/>
                <w:sz w:val="18"/>
                <w:szCs w:val="18"/>
                <w:lang w:eastAsia="en-GB"/>
              </w:rPr>
            </w:pPr>
            <w:r w:rsidRPr="009A3D60">
              <w:rPr>
                <w:rFonts w:ascii="Calibri" w:eastAsia="Times New Roman" w:hAnsi="Calibri" w:cs="Calibri"/>
                <w:color w:val="000000"/>
                <w:sz w:val="18"/>
                <w:szCs w:val="18"/>
                <w:lang w:eastAsia="en-GB"/>
              </w:rPr>
              <w:t>CW</w:t>
            </w:r>
          </w:p>
        </w:tc>
        <w:tc>
          <w:tcPr>
            <w:tcW w:w="960" w:type="dxa"/>
            <w:tcBorders>
              <w:top w:val="nil"/>
              <w:left w:val="nil"/>
              <w:bottom w:val="single" w:sz="4" w:space="0" w:color="auto"/>
              <w:right w:val="single" w:sz="4" w:space="0" w:color="auto"/>
            </w:tcBorders>
            <w:shd w:val="clear" w:color="auto" w:fill="auto"/>
            <w:noWrap/>
            <w:hideMark/>
          </w:tcPr>
          <w:p w14:paraId="5DDCF5AB" w14:textId="77777777" w:rsidR="005A5F70" w:rsidRPr="009A3D60" w:rsidRDefault="005A5F70" w:rsidP="002467A6">
            <w:pPr>
              <w:spacing w:after="0" w:line="240" w:lineRule="auto"/>
              <w:jc w:val="center"/>
              <w:rPr>
                <w:rFonts w:ascii="Calibri" w:eastAsia="Times New Roman" w:hAnsi="Calibri" w:cs="Calibri"/>
                <w:color w:val="000000"/>
                <w:sz w:val="18"/>
                <w:szCs w:val="18"/>
                <w:lang w:eastAsia="en-GB"/>
              </w:rPr>
            </w:pPr>
            <w:r w:rsidRPr="009A3D60">
              <w:rPr>
                <w:rFonts w:ascii="Calibri" w:eastAsia="Times New Roman" w:hAnsi="Calibri" w:cs="Calibri"/>
                <w:color w:val="000000"/>
                <w:sz w:val="18"/>
                <w:szCs w:val="18"/>
                <w:lang w:eastAsia="en-GB"/>
              </w:rPr>
              <w:t> </w:t>
            </w:r>
          </w:p>
        </w:tc>
        <w:tc>
          <w:tcPr>
            <w:tcW w:w="1140" w:type="dxa"/>
            <w:tcBorders>
              <w:top w:val="nil"/>
              <w:left w:val="nil"/>
              <w:bottom w:val="single" w:sz="4" w:space="0" w:color="auto"/>
              <w:right w:val="single" w:sz="4" w:space="0" w:color="auto"/>
            </w:tcBorders>
            <w:shd w:val="clear" w:color="auto" w:fill="auto"/>
            <w:noWrap/>
            <w:hideMark/>
          </w:tcPr>
          <w:p w14:paraId="00C98B86" w14:textId="77777777" w:rsidR="005A5F70" w:rsidRPr="009A3D60" w:rsidRDefault="005A5F70" w:rsidP="002467A6">
            <w:pPr>
              <w:spacing w:after="0" w:line="240" w:lineRule="auto"/>
              <w:jc w:val="center"/>
              <w:rPr>
                <w:rFonts w:ascii="Calibri" w:eastAsia="Times New Roman" w:hAnsi="Calibri" w:cs="Calibri"/>
                <w:color w:val="000000"/>
                <w:sz w:val="18"/>
                <w:szCs w:val="18"/>
                <w:lang w:eastAsia="en-GB"/>
              </w:rPr>
            </w:pPr>
            <w:r w:rsidRPr="009A3D60">
              <w:rPr>
                <w:rFonts w:ascii="Calibri" w:eastAsia="Times New Roman" w:hAnsi="Calibri" w:cs="Calibri"/>
                <w:color w:val="000000"/>
                <w:sz w:val="18"/>
                <w:szCs w:val="18"/>
                <w:lang w:eastAsia="en-GB"/>
              </w:rPr>
              <w:t>x</w:t>
            </w:r>
          </w:p>
        </w:tc>
      </w:tr>
      <w:tr w:rsidR="005A5F70" w:rsidRPr="009A3D60" w14:paraId="422E4FEB" w14:textId="77777777" w:rsidTr="002467A6">
        <w:trPr>
          <w:trHeight w:val="240"/>
        </w:trPr>
        <w:tc>
          <w:tcPr>
            <w:tcW w:w="960" w:type="dxa"/>
            <w:tcBorders>
              <w:top w:val="nil"/>
              <w:left w:val="single" w:sz="4" w:space="0" w:color="auto"/>
              <w:bottom w:val="single" w:sz="4" w:space="0" w:color="auto"/>
              <w:right w:val="single" w:sz="4" w:space="0" w:color="auto"/>
            </w:tcBorders>
            <w:shd w:val="clear" w:color="auto" w:fill="auto"/>
            <w:noWrap/>
            <w:hideMark/>
          </w:tcPr>
          <w:p w14:paraId="72211FDB" w14:textId="77777777" w:rsidR="005A5F70" w:rsidRPr="009A3D60" w:rsidRDefault="005A5F70" w:rsidP="002467A6">
            <w:pPr>
              <w:spacing w:after="0" w:line="240" w:lineRule="auto"/>
              <w:rPr>
                <w:rFonts w:ascii="Calibri" w:eastAsia="Times New Roman" w:hAnsi="Calibri" w:cs="Calibri"/>
                <w:color w:val="000000"/>
                <w:sz w:val="18"/>
                <w:szCs w:val="18"/>
                <w:lang w:eastAsia="en-GB"/>
              </w:rPr>
            </w:pPr>
            <w:r w:rsidRPr="009A3D60">
              <w:rPr>
                <w:rFonts w:ascii="Calibri" w:eastAsia="Times New Roman" w:hAnsi="Calibri" w:cs="Calibri"/>
                <w:color w:val="000000"/>
                <w:sz w:val="18"/>
                <w:szCs w:val="18"/>
                <w:lang w:eastAsia="en-GB"/>
              </w:rPr>
              <w:t>Northwich</w:t>
            </w:r>
          </w:p>
        </w:tc>
        <w:tc>
          <w:tcPr>
            <w:tcW w:w="1880" w:type="dxa"/>
            <w:tcBorders>
              <w:top w:val="nil"/>
              <w:left w:val="nil"/>
              <w:bottom w:val="single" w:sz="4" w:space="0" w:color="auto"/>
              <w:right w:val="single" w:sz="4" w:space="0" w:color="auto"/>
            </w:tcBorders>
            <w:shd w:val="clear" w:color="auto" w:fill="auto"/>
            <w:noWrap/>
            <w:hideMark/>
          </w:tcPr>
          <w:p w14:paraId="7BD01AAD" w14:textId="77777777" w:rsidR="005A5F70" w:rsidRPr="009A3D60" w:rsidRDefault="005A5F70" w:rsidP="002467A6">
            <w:pPr>
              <w:spacing w:after="0" w:line="240" w:lineRule="auto"/>
              <w:rPr>
                <w:rFonts w:ascii="Calibri" w:eastAsia="Times New Roman" w:hAnsi="Calibri" w:cs="Calibri"/>
                <w:color w:val="000000"/>
                <w:sz w:val="18"/>
                <w:szCs w:val="18"/>
                <w:lang w:eastAsia="en-GB"/>
              </w:rPr>
            </w:pPr>
            <w:r w:rsidRPr="009A3D60">
              <w:rPr>
                <w:rFonts w:ascii="Calibri" w:eastAsia="Times New Roman" w:hAnsi="Calibri" w:cs="Calibri"/>
                <w:color w:val="000000"/>
                <w:sz w:val="18"/>
                <w:szCs w:val="18"/>
                <w:lang w:eastAsia="en-GB"/>
              </w:rPr>
              <w:t>Cheshire Northwich</w:t>
            </w:r>
          </w:p>
        </w:tc>
        <w:tc>
          <w:tcPr>
            <w:tcW w:w="1480" w:type="dxa"/>
            <w:tcBorders>
              <w:top w:val="nil"/>
              <w:left w:val="nil"/>
              <w:bottom w:val="single" w:sz="4" w:space="0" w:color="auto"/>
              <w:right w:val="single" w:sz="4" w:space="0" w:color="auto"/>
            </w:tcBorders>
            <w:shd w:val="clear" w:color="auto" w:fill="auto"/>
            <w:noWrap/>
            <w:hideMark/>
          </w:tcPr>
          <w:p w14:paraId="799C6471" w14:textId="77777777" w:rsidR="005A5F70" w:rsidRPr="009A3D60" w:rsidRDefault="005A5F70" w:rsidP="002467A6">
            <w:pPr>
              <w:spacing w:after="0" w:line="240" w:lineRule="auto"/>
              <w:rPr>
                <w:rFonts w:ascii="Calibri" w:eastAsia="Times New Roman" w:hAnsi="Calibri" w:cs="Calibri"/>
                <w:color w:val="000000"/>
                <w:sz w:val="18"/>
                <w:szCs w:val="18"/>
                <w:lang w:eastAsia="en-GB"/>
              </w:rPr>
            </w:pPr>
            <w:r w:rsidRPr="009A3D60">
              <w:rPr>
                <w:rFonts w:ascii="Calibri" w:eastAsia="Times New Roman" w:hAnsi="Calibri" w:cs="Calibri"/>
                <w:color w:val="000000"/>
                <w:sz w:val="18"/>
                <w:szCs w:val="18"/>
                <w:lang w:eastAsia="en-GB"/>
              </w:rPr>
              <w:t>Cheshire basin</w:t>
            </w:r>
          </w:p>
        </w:tc>
        <w:tc>
          <w:tcPr>
            <w:tcW w:w="1120" w:type="dxa"/>
            <w:tcBorders>
              <w:top w:val="nil"/>
              <w:left w:val="nil"/>
              <w:bottom w:val="single" w:sz="4" w:space="0" w:color="auto"/>
              <w:right w:val="single" w:sz="4" w:space="0" w:color="auto"/>
            </w:tcBorders>
            <w:shd w:val="clear" w:color="auto" w:fill="auto"/>
            <w:noWrap/>
            <w:hideMark/>
          </w:tcPr>
          <w:p w14:paraId="7FC63E28" w14:textId="77777777" w:rsidR="005A5F70" w:rsidRPr="009A3D60" w:rsidRDefault="005A5F70" w:rsidP="002467A6">
            <w:pPr>
              <w:spacing w:after="0" w:line="240" w:lineRule="auto"/>
              <w:jc w:val="center"/>
              <w:rPr>
                <w:rFonts w:ascii="Calibri" w:eastAsia="Times New Roman" w:hAnsi="Calibri" w:cs="Calibri"/>
                <w:color w:val="000000"/>
                <w:sz w:val="18"/>
                <w:szCs w:val="18"/>
                <w:lang w:eastAsia="en-GB"/>
              </w:rPr>
            </w:pPr>
            <w:r w:rsidRPr="009A3D60">
              <w:rPr>
                <w:rFonts w:ascii="Calibri" w:eastAsia="Times New Roman" w:hAnsi="Calibri" w:cs="Calibri"/>
                <w:color w:val="000000"/>
                <w:sz w:val="18"/>
                <w:szCs w:val="18"/>
                <w:lang w:eastAsia="en-GB"/>
              </w:rPr>
              <w:t>C</w:t>
            </w:r>
          </w:p>
        </w:tc>
        <w:tc>
          <w:tcPr>
            <w:tcW w:w="960" w:type="dxa"/>
            <w:tcBorders>
              <w:top w:val="nil"/>
              <w:left w:val="nil"/>
              <w:bottom w:val="single" w:sz="4" w:space="0" w:color="auto"/>
              <w:right w:val="single" w:sz="4" w:space="0" w:color="auto"/>
            </w:tcBorders>
            <w:shd w:val="clear" w:color="auto" w:fill="auto"/>
            <w:noWrap/>
            <w:hideMark/>
          </w:tcPr>
          <w:p w14:paraId="734B6F27" w14:textId="77777777" w:rsidR="005A5F70" w:rsidRPr="009A3D60" w:rsidRDefault="005A5F70" w:rsidP="002467A6">
            <w:pPr>
              <w:spacing w:after="0" w:line="240" w:lineRule="auto"/>
              <w:jc w:val="center"/>
              <w:rPr>
                <w:rFonts w:ascii="Calibri" w:eastAsia="Times New Roman" w:hAnsi="Calibri" w:cs="Calibri"/>
                <w:color w:val="000000"/>
                <w:sz w:val="18"/>
                <w:szCs w:val="18"/>
                <w:lang w:eastAsia="en-GB"/>
              </w:rPr>
            </w:pPr>
            <w:r w:rsidRPr="009A3D60">
              <w:rPr>
                <w:rFonts w:ascii="Calibri" w:eastAsia="Times New Roman" w:hAnsi="Calibri" w:cs="Calibri"/>
                <w:color w:val="000000"/>
                <w:sz w:val="18"/>
                <w:szCs w:val="18"/>
                <w:lang w:eastAsia="en-GB"/>
              </w:rPr>
              <w:t>x</w:t>
            </w:r>
          </w:p>
        </w:tc>
        <w:tc>
          <w:tcPr>
            <w:tcW w:w="1140" w:type="dxa"/>
            <w:tcBorders>
              <w:top w:val="nil"/>
              <w:left w:val="nil"/>
              <w:bottom w:val="single" w:sz="4" w:space="0" w:color="auto"/>
              <w:right w:val="single" w:sz="4" w:space="0" w:color="auto"/>
            </w:tcBorders>
            <w:shd w:val="clear" w:color="auto" w:fill="auto"/>
            <w:noWrap/>
            <w:hideMark/>
          </w:tcPr>
          <w:p w14:paraId="2FF4174A" w14:textId="77777777" w:rsidR="005A5F70" w:rsidRPr="009A3D60" w:rsidRDefault="005A5F70" w:rsidP="002467A6">
            <w:pPr>
              <w:spacing w:after="0" w:line="240" w:lineRule="auto"/>
              <w:jc w:val="center"/>
              <w:rPr>
                <w:rFonts w:ascii="Calibri" w:eastAsia="Times New Roman" w:hAnsi="Calibri" w:cs="Calibri"/>
                <w:color w:val="000000"/>
                <w:sz w:val="18"/>
                <w:szCs w:val="18"/>
                <w:lang w:eastAsia="en-GB"/>
              </w:rPr>
            </w:pPr>
            <w:r w:rsidRPr="009A3D60">
              <w:rPr>
                <w:rFonts w:ascii="Calibri" w:eastAsia="Times New Roman" w:hAnsi="Calibri" w:cs="Calibri"/>
                <w:color w:val="000000"/>
                <w:sz w:val="18"/>
                <w:szCs w:val="18"/>
                <w:lang w:eastAsia="en-GB"/>
              </w:rPr>
              <w:t> </w:t>
            </w:r>
          </w:p>
        </w:tc>
      </w:tr>
      <w:tr w:rsidR="005A5F70" w:rsidRPr="009A3D60" w14:paraId="7A084E46" w14:textId="77777777" w:rsidTr="002467A6">
        <w:trPr>
          <w:trHeight w:val="240"/>
        </w:trPr>
        <w:tc>
          <w:tcPr>
            <w:tcW w:w="960" w:type="dxa"/>
            <w:tcBorders>
              <w:top w:val="nil"/>
              <w:left w:val="single" w:sz="4" w:space="0" w:color="auto"/>
              <w:bottom w:val="single" w:sz="4" w:space="0" w:color="auto"/>
              <w:right w:val="single" w:sz="4" w:space="0" w:color="auto"/>
            </w:tcBorders>
            <w:shd w:val="clear" w:color="auto" w:fill="auto"/>
            <w:noWrap/>
            <w:hideMark/>
          </w:tcPr>
          <w:p w14:paraId="05BCC2A4" w14:textId="77777777" w:rsidR="005A5F70" w:rsidRPr="009A3D60" w:rsidRDefault="005A5F70" w:rsidP="002467A6">
            <w:pPr>
              <w:spacing w:after="0" w:line="240" w:lineRule="auto"/>
              <w:rPr>
                <w:rFonts w:ascii="Calibri" w:eastAsia="Times New Roman" w:hAnsi="Calibri" w:cs="Calibri"/>
                <w:color w:val="000000"/>
                <w:sz w:val="18"/>
                <w:szCs w:val="18"/>
                <w:lang w:eastAsia="en-GB"/>
              </w:rPr>
            </w:pPr>
            <w:r w:rsidRPr="009A3D60">
              <w:rPr>
                <w:rFonts w:ascii="Calibri" w:eastAsia="Times New Roman" w:hAnsi="Calibri" w:cs="Calibri"/>
                <w:color w:val="000000"/>
                <w:sz w:val="18"/>
                <w:szCs w:val="18"/>
                <w:lang w:eastAsia="en-GB"/>
              </w:rPr>
              <w:t>Northwich</w:t>
            </w:r>
          </w:p>
        </w:tc>
        <w:tc>
          <w:tcPr>
            <w:tcW w:w="1880" w:type="dxa"/>
            <w:tcBorders>
              <w:top w:val="nil"/>
              <w:left w:val="nil"/>
              <w:bottom w:val="single" w:sz="4" w:space="0" w:color="auto"/>
              <w:right w:val="single" w:sz="4" w:space="0" w:color="auto"/>
            </w:tcBorders>
            <w:shd w:val="clear" w:color="auto" w:fill="auto"/>
            <w:noWrap/>
            <w:hideMark/>
          </w:tcPr>
          <w:p w14:paraId="3583C001" w14:textId="77777777" w:rsidR="005A5F70" w:rsidRPr="009A3D60" w:rsidRDefault="005A5F70" w:rsidP="002467A6">
            <w:pPr>
              <w:spacing w:after="0" w:line="240" w:lineRule="auto"/>
              <w:rPr>
                <w:rFonts w:ascii="Calibri" w:eastAsia="Times New Roman" w:hAnsi="Calibri" w:cs="Calibri"/>
                <w:color w:val="000000"/>
                <w:sz w:val="18"/>
                <w:szCs w:val="18"/>
                <w:lang w:eastAsia="en-GB"/>
              </w:rPr>
            </w:pPr>
            <w:r w:rsidRPr="009A3D60">
              <w:rPr>
                <w:rFonts w:ascii="Calibri" w:eastAsia="Times New Roman" w:hAnsi="Calibri" w:cs="Calibri"/>
                <w:color w:val="000000"/>
                <w:sz w:val="18"/>
                <w:szCs w:val="18"/>
                <w:lang w:eastAsia="en-GB"/>
              </w:rPr>
              <w:t>Cheshire Northwich</w:t>
            </w:r>
          </w:p>
        </w:tc>
        <w:tc>
          <w:tcPr>
            <w:tcW w:w="1480" w:type="dxa"/>
            <w:tcBorders>
              <w:top w:val="nil"/>
              <w:left w:val="nil"/>
              <w:bottom w:val="single" w:sz="4" w:space="0" w:color="auto"/>
              <w:right w:val="single" w:sz="4" w:space="0" w:color="auto"/>
            </w:tcBorders>
            <w:shd w:val="clear" w:color="auto" w:fill="auto"/>
            <w:noWrap/>
            <w:hideMark/>
          </w:tcPr>
          <w:p w14:paraId="1A69C992" w14:textId="77777777" w:rsidR="005A5F70" w:rsidRPr="009A3D60" w:rsidRDefault="005A5F70" w:rsidP="002467A6">
            <w:pPr>
              <w:spacing w:after="0" w:line="240" w:lineRule="auto"/>
              <w:rPr>
                <w:rFonts w:ascii="Calibri" w:eastAsia="Times New Roman" w:hAnsi="Calibri" w:cs="Calibri"/>
                <w:color w:val="000000"/>
                <w:sz w:val="18"/>
                <w:szCs w:val="18"/>
                <w:lang w:eastAsia="en-GB"/>
              </w:rPr>
            </w:pPr>
            <w:r w:rsidRPr="009A3D60">
              <w:rPr>
                <w:rFonts w:ascii="Calibri" w:eastAsia="Times New Roman" w:hAnsi="Calibri" w:cs="Calibri"/>
                <w:color w:val="000000"/>
                <w:sz w:val="18"/>
                <w:szCs w:val="18"/>
                <w:lang w:eastAsia="en-GB"/>
              </w:rPr>
              <w:t>Cheshire basin</w:t>
            </w:r>
          </w:p>
        </w:tc>
        <w:tc>
          <w:tcPr>
            <w:tcW w:w="1120" w:type="dxa"/>
            <w:tcBorders>
              <w:top w:val="nil"/>
              <w:left w:val="nil"/>
              <w:bottom w:val="single" w:sz="4" w:space="0" w:color="auto"/>
              <w:right w:val="single" w:sz="4" w:space="0" w:color="auto"/>
            </w:tcBorders>
            <w:shd w:val="clear" w:color="auto" w:fill="auto"/>
            <w:noWrap/>
            <w:hideMark/>
          </w:tcPr>
          <w:p w14:paraId="6766AC65" w14:textId="77777777" w:rsidR="005A5F70" w:rsidRPr="009A3D60" w:rsidRDefault="005A5F70" w:rsidP="002467A6">
            <w:pPr>
              <w:spacing w:after="0" w:line="240" w:lineRule="auto"/>
              <w:jc w:val="center"/>
              <w:rPr>
                <w:rFonts w:ascii="Calibri" w:eastAsia="Times New Roman" w:hAnsi="Calibri" w:cs="Calibri"/>
                <w:color w:val="000000"/>
                <w:sz w:val="18"/>
                <w:szCs w:val="18"/>
                <w:lang w:eastAsia="en-GB"/>
              </w:rPr>
            </w:pPr>
            <w:r w:rsidRPr="009A3D60">
              <w:rPr>
                <w:rFonts w:ascii="Calibri" w:eastAsia="Times New Roman" w:hAnsi="Calibri" w:cs="Calibri"/>
                <w:color w:val="000000"/>
                <w:sz w:val="18"/>
                <w:szCs w:val="18"/>
                <w:lang w:eastAsia="en-GB"/>
              </w:rPr>
              <w:t>C</w:t>
            </w:r>
          </w:p>
        </w:tc>
        <w:tc>
          <w:tcPr>
            <w:tcW w:w="960" w:type="dxa"/>
            <w:tcBorders>
              <w:top w:val="nil"/>
              <w:left w:val="nil"/>
              <w:bottom w:val="single" w:sz="4" w:space="0" w:color="auto"/>
              <w:right w:val="single" w:sz="4" w:space="0" w:color="auto"/>
            </w:tcBorders>
            <w:shd w:val="clear" w:color="auto" w:fill="auto"/>
            <w:noWrap/>
            <w:hideMark/>
          </w:tcPr>
          <w:p w14:paraId="68F08E08" w14:textId="77777777" w:rsidR="005A5F70" w:rsidRPr="009A3D60" w:rsidRDefault="005A5F70" w:rsidP="002467A6">
            <w:pPr>
              <w:spacing w:after="0" w:line="240" w:lineRule="auto"/>
              <w:jc w:val="center"/>
              <w:rPr>
                <w:rFonts w:ascii="Calibri" w:eastAsia="Times New Roman" w:hAnsi="Calibri" w:cs="Calibri"/>
                <w:color w:val="000000"/>
                <w:sz w:val="18"/>
                <w:szCs w:val="18"/>
                <w:lang w:eastAsia="en-GB"/>
              </w:rPr>
            </w:pPr>
            <w:r w:rsidRPr="009A3D60">
              <w:rPr>
                <w:rFonts w:ascii="Calibri" w:eastAsia="Times New Roman" w:hAnsi="Calibri" w:cs="Calibri"/>
                <w:color w:val="000000"/>
                <w:sz w:val="18"/>
                <w:szCs w:val="18"/>
                <w:lang w:eastAsia="en-GB"/>
              </w:rPr>
              <w:t> </w:t>
            </w:r>
          </w:p>
        </w:tc>
        <w:tc>
          <w:tcPr>
            <w:tcW w:w="1140" w:type="dxa"/>
            <w:tcBorders>
              <w:top w:val="nil"/>
              <w:left w:val="nil"/>
              <w:bottom w:val="single" w:sz="4" w:space="0" w:color="auto"/>
              <w:right w:val="single" w:sz="4" w:space="0" w:color="auto"/>
            </w:tcBorders>
            <w:shd w:val="clear" w:color="auto" w:fill="auto"/>
            <w:noWrap/>
            <w:hideMark/>
          </w:tcPr>
          <w:p w14:paraId="6F85C5F6" w14:textId="77777777" w:rsidR="005A5F70" w:rsidRPr="009A3D60" w:rsidRDefault="005A5F70" w:rsidP="002467A6">
            <w:pPr>
              <w:spacing w:after="0" w:line="240" w:lineRule="auto"/>
              <w:jc w:val="center"/>
              <w:rPr>
                <w:rFonts w:ascii="Calibri" w:eastAsia="Times New Roman" w:hAnsi="Calibri" w:cs="Calibri"/>
                <w:color w:val="000000"/>
                <w:sz w:val="18"/>
                <w:szCs w:val="18"/>
                <w:lang w:eastAsia="en-GB"/>
              </w:rPr>
            </w:pPr>
            <w:r w:rsidRPr="009A3D60">
              <w:rPr>
                <w:rFonts w:ascii="Calibri" w:eastAsia="Times New Roman" w:hAnsi="Calibri" w:cs="Calibri"/>
                <w:color w:val="000000"/>
                <w:sz w:val="18"/>
                <w:szCs w:val="18"/>
                <w:lang w:eastAsia="en-GB"/>
              </w:rPr>
              <w:t>x</w:t>
            </w:r>
          </w:p>
        </w:tc>
      </w:tr>
      <w:tr w:rsidR="005A5F70" w:rsidRPr="009A3D60" w14:paraId="0AC26E6F" w14:textId="77777777" w:rsidTr="002467A6">
        <w:trPr>
          <w:trHeight w:val="240"/>
        </w:trPr>
        <w:tc>
          <w:tcPr>
            <w:tcW w:w="960" w:type="dxa"/>
            <w:tcBorders>
              <w:top w:val="nil"/>
              <w:left w:val="single" w:sz="4" w:space="0" w:color="auto"/>
              <w:bottom w:val="single" w:sz="4" w:space="0" w:color="auto"/>
              <w:right w:val="single" w:sz="4" w:space="0" w:color="auto"/>
            </w:tcBorders>
            <w:shd w:val="clear" w:color="auto" w:fill="auto"/>
            <w:noWrap/>
            <w:hideMark/>
          </w:tcPr>
          <w:p w14:paraId="2BAFC074" w14:textId="77777777" w:rsidR="005A5F70" w:rsidRPr="009A3D60" w:rsidRDefault="005A5F70" w:rsidP="002467A6">
            <w:pPr>
              <w:spacing w:after="0" w:line="240" w:lineRule="auto"/>
              <w:rPr>
                <w:rFonts w:ascii="Calibri" w:eastAsia="Times New Roman" w:hAnsi="Calibri" w:cs="Calibri"/>
                <w:color w:val="000000"/>
                <w:sz w:val="18"/>
                <w:szCs w:val="18"/>
                <w:lang w:eastAsia="en-GB"/>
              </w:rPr>
            </w:pPr>
            <w:r w:rsidRPr="009A3D60">
              <w:rPr>
                <w:rFonts w:ascii="Calibri" w:eastAsia="Times New Roman" w:hAnsi="Calibri" w:cs="Calibri"/>
                <w:color w:val="000000"/>
                <w:sz w:val="18"/>
                <w:szCs w:val="18"/>
                <w:lang w:eastAsia="en-GB"/>
              </w:rPr>
              <w:t>Northwich</w:t>
            </w:r>
          </w:p>
        </w:tc>
        <w:tc>
          <w:tcPr>
            <w:tcW w:w="1880" w:type="dxa"/>
            <w:tcBorders>
              <w:top w:val="nil"/>
              <w:left w:val="nil"/>
              <w:bottom w:val="single" w:sz="4" w:space="0" w:color="auto"/>
              <w:right w:val="single" w:sz="4" w:space="0" w:color="auto"/>
            </w:tcBorders>
            <w:shd w:val="clear" w:color="auto" w:fill="auto"/>
            <w:noWrap/>
            <w:hideMark/>
          </w:tcPr>
          <w:p w14:paraId="1076E0B5" w14:textId="77777777" w:rsidR="005A5F70" w:rsidRPr="009A3D60" w:rsidRDefault="005A5F70" w:rsidP="002467A6">
            <w:pPr>
              <w:spacing w:after="0" w:line="240" w:lineRule="auto"/>
              <w:rPr>
                <w:rFonts w:ascii="Calibri" w:eastAsia="Times New Roman" w:hAnsi="Calibri" w:cs="Calibri"/>
                <w:color w:val="000000"/>
                <w:sz w:val="18"/>
                <w:szCs w:val="18"/>
                <w:lang w:eastAsia="en-GB"/>
              </w:rPr>
            </w:pPr>
            <w:r w:rsidRPr="009A3D60">
              <w:rPr>
                <w:rFonts w:ascii="Calibri" w:eastAsia="Times New Roman" w:hAnsi="Calibri" w:cs="Calibri"/>
                <w:color w:val="000000"/>
                <w:sz w:val="18"/>
                <w:szCs w:val="18"/>
                <w:lang w:eastAsia="en-GB"/>
              </w:rPr>
              <w:t>Cheshire Northwich</w:t>
            </w:r>
          </w:p>
        </w:tc>
        <w:tc>
          <w:tcPr>
            <w:tcW w:w="1480" w:type="dxa"/>
            <w:tcBorders>
              <w:top w:val="nil"/>
              <w:left w:val="nil"/>
              <w:bottom w:val="single" w:sz="4" w:space="0" w:color="auto"/>
              <w:right w:val="single" w:sz="4" w:space="0" w:color="auto"/>
            </w:tcBorders>
            <w:shd w:val="clear" w:color="auto" w:fill="auto"/>
            <w:noWrap/>
            <w:hideMark/>
          </w:tcPr>
          <w:p w14:paraId="3B974CEE" w14:textId="77777777" w:rsidR="005A5F70" w:rsidRPr="009A3D60" w:rsidRDefault="005A5F70" w:rsidP="002467A6">
            <w:pPr>
              <w:spacing w:after="0" w:line="240" w:lineRule="auto"/>
              <w:rPr>
                <w:rFonts w:ascii="Calibri" w:eastAsia="Times New Roman" w:hAnsi="Calibri" w:cs="Calibri"/>
                <w:color w:val="000000"/>
                <w:sz w:val="18"/>
                <w:szCs w:val="18"/>
                <w:lang w:eastAsia="en-GB"/>
              </w:rPr>
            </w:pPr>
            <w:r w:rsidRPr="009A3D60">
              <w:rPr>
                <w:rFonts w:ascii="Calibri" w:eastAsia="Times New Roman" w:hAnsi="Calibri" w:cs="Calibri"/>
                <w:color w:val="000000"/>
                <w:sz w:val="18"/>
                <w:szCs w:val="18"/>
                <w:lang w:eastAsia="en-GB"/>
              </w:rPr>
              <w:t>Cheshire basin</w:t>
            </w:r>
          </w:p>
        </w:tc>
        <w:tc>
          <w:tcPr>
            <w:tcW w:w="1120" w:type="dxa"/>
            <w:tcBorders>
              <w:top w:val="nil"/>
              <w:left w:val="nil"/>
              <w:bottom w:val="single" w:sz="4" w:space="0" w:color="auto"/>
              <w:right w:val="single" w:sz="4" w:space="0" w:color="auto"/>
            </w:tcBorders>
            <w:shd w:val="clear" w:color="auto" w:fill="auto"/>
            <w:noWrap/>
            <w:hideMark/>
          </w:tcPr>
          <w:p w14:paraId="366F23BF" w14:textId="77777777" w:rsidR="005A5F70" w:rsidRPr="009A3D60" w:rsidRDefault="005A5F70" w:rsidP="002467A6">
            <w:pPr>
              <w:spacing w:after="0" w:line="240" w:lineRule="auto"/>
              <w:jc w:val="center"/>
              <w:rPr>
                <w:rFonts w:ascii="Calibri" w:eastAsia="Times New Roman" w:hAnsi="Calibri" w:cs="Calibri"/>
                <w:color w:val="000000"/>
                <w:sz w:val="18"/>
                <w:szCs w:val="18"/>
                <w:lang w:eastAsia="en-GB"/>
              </w:rPr>
            </w:pPr>
            <w:r w:rsidRPr="009A3D60">
              <w:rPr>
                <w:rFonts w:ascii="Calibri" w:eastAsia="Times New Roman" w:hAnsi="Calibri" w:cs="Calibri"/>
                <w:color w:val="000000"/>
                <w:sz w:val="18"/>
                <w:szCs w:val="18"/>
                <w:lang w:eastAsia="en-GB"/>
              </w:rPr>
              <w:t>H</w:t>
            </w:r>
          </w:p>
        </w:tc>
        <w:tc>
          <w:tcPr>
            <w:tcW w:w="960" w:type="dxa"/>
            <w:tcBorders>
              <w:top w:val="nil"/>
              <w:left w:val="nil"/>
              <w:bottom w:val="single" w:sz="4" w:space="0" w:color="auto"/>
              <w:right w:val="single" w:sz="4" w:space="0" w:color="auto"/>
            </w:tcBorders>
            <w:shd w:val="clear" w:color="auto" w:fill="auto"/>
            <w:noWrap/>
            <w:hideMark/>
          </w:tcPr>
          <w:p w14:paraId="60BB35B2" w14:textId="77777777" w:rsidR="005A5F70" w:rsidRPr="009A3D60" w:rsidRDefault="005A5F70" w:rsidP="002467A6">
            <w:pPr>
              <w:spacing w:after="0" w:line="240" w:lineRule="auto"/>
              <w:jc w:val="center"/>
              <w:rPr>
                <w:rFonts w:ascii="Calibri" w:eastAsia="Times New Roman" w:hAnsi="Calibri" w:cs="Calibri"/>
                <w:color w:val="000000"/>
                <w:sz w:val="18"/>
                <w:szCs w:val="18"/>
                <w:lang w:eastAsia="en-GB"/>
              </w:rPr>
            </w:pPr>
            <w:r w:rsidRPr="009A3D60">
              <w:rPr>
                <w:rFonts w:ascii="Calibri" w:eastAsia="Times New Roman" w:hAnsi="Calibri" w:cs="Calibri"/>
                <w:color w:val="000000"/>
                <w:sz w:val="18"/>
                <w:szCs w:val="18"/>
                <w:lang w:eastAsia="en-GB"/>
              </w:rPr>
              <w:t>x</w:t>
            </w:r>
          </w:p>
        </w:tc>
        <w:tc>
          <w:tcPr>
            <w:tcW w:w="1140" w:type="dxa"/>
            <w:tcBorders>
              <w:top w:val="nil"/>
              <w:left w:val="nil"/>
              <w:bottom w:val="single" w:sz="4" w:space="0" w:color="auto"/>
              <w:right w:val="single" w:sz="4" w:space="0" w:color="auto"/>
            </w:tcBorders>
            <w:shd w:val="clear" w:color="auto" w:fill="auto"/>
            <w:noWrap/>
            <w:hideMark/>
          </w:tcPr>
          <w:p w14:paraId="0907C94E" w14:textId="77777777" w:rsidR="005A5F70" w:rsidRPr="009A3D60" w:rsidRDefault="005A5F70" w:rsidP="002467A6">
            <w:pPr>
              <w:spacing w:after="0" w:line="240" w:lineRule="auto"/>
              <w:jc w:val="center"/>
              <w:rPr>
                <w:rFonts w:ascii="Calibri" w:eastAsia="Times New Roman" w:hAnsi="Calibri" w:cs="Calibri"/>
                <w:color w:val="000000"/>
                <w:sz w:val="18"/>
                <w:szCs w:val="18"/>
                <w:lang w:eastAsia="en-GB"/>
              </w:rPr>
            </w:pPr>
            <w:r w:rsidRPr="009A3D60">
              <w:rPr>
                <w:rFonts w:ascii="Calibri" w:eastAsia="Times New Roman" w:hAnsi="Calibri" w:cs="Calibri"/>
                <w:color w:val="000000"/>
                <w:sz w:val="18"/>
                <w:szCs w:val="18"/>
                <w:lang w:eastAsia="en-GB"/>
              </w:rPr>
              <w:t> </w:t>
            </w:r>
          </w:p>
        </w:tc>
      </w:tr>
      <w:tr w:rsidR="005A5F70" w:rsidRPr="009A3D60" w14:paraId="6FD29FB3" w14:textId="77777777" w:rsidTr="002467A6">
        <w:trPr>
          <w:trHeight w:val="240"/>
        </w:trPr>
        <w:tc>
          <w:tcPr>
            <w:tcW w:w="960" w:type="dxa"/>
            <w:tcBorders>
              <w:top w:val="nil"/>
              <w:left w:val="single" w:sz="4" w:space="0" w:color="auto"/>
              <w:bottom w:val="single" w:sz="4" w:space="0" w:color="auto"/>
              <w:right w:val="single" w:sz="4" w:space="0" w:color="auto"/>
            </w:tcBorders>
            <w:shd w:val="clear" w:color="auto" w:fill="auto"/>
            <w:noWrap/>
            <w:hideMark/>
          </w:tcPr>
          <w:p w14:paraId="60135B89" w14:textId="77777777" w:rsidR="005A5F70" w:rsidRPr="009A3D60" w:rsidRDefault="005A5F70" w:rsidP="002467A6">
            <w:pPr>
              <w:spacing w:after="0" w:line="240" w:lineRule="auto"/>
              <w:rPr>
                <w:rFonts w:ascii="Calibri" w:eastAsia="Times New Roman" w:hAnsi="Calibri" w:cs="Calibri"/>
                <w:color w:val="000000"/>
                <w:sz w:val="18"/>
                <w:szCs w:val="18"/>
                <w:lang w:eastAsia="en-GB"/>
              </w:rPr>
            </w:pPr>
            <w:r w:rsidRPr="009A3D60">
              <w:rPr>
                <w:rFonts w:ascii="Calibri" w:eastAsia="Times New Roman" w:hAnsi="Calibri" w:cs="Calibri"/>
                <w:color w:val="000000"/>
                <w:sz w:val="18"/>
                <w:szCs w:val="18"/>
                <w:lang w:eastAsia="en-GB"/>
              </w:rPr>
              <w:t>Northwich</w:t>
            </w:r>
          </w:p>
        </w:tc>
        <w:tc>
          <w:tcPr>
            <w:tcW w:w="1880" w:type="dxa"/>
            <w:tcBorders>
              <w:top w:val="nil"/>
              <w:left w:val="nil"/>
              <w:bottom w:val="single" w:sz="4" w:space="0" w:color="auto"/>
              <w:right w:val="single" w:sz="4" w:space="0" w:color="auto"/>
            </w:tcBorders>
            <w:shd w:val="clear" w:color="auto" w:fill="auto"/>
            <w:noWrap/>
            <w:hideMark/>
          </w:tcPr>
          <w:p w14:paraId="61AB6DFC" w14:textId="77777777" w:rsidR="005A5F70" w:rsidRPr="009A3D60" w:rsidRDefault="005A5F70" w:rsidP="002467A6">
            <w:pPr>
              <w:spacing w:after="0" w:line="240" w:lineRule="auto"/>
              <w:rPr>
                <w:rFonts w:ascii="Calibri" w:eastAsia="Times New Roman" w:hAnsi="Calibri" w:cs="Calibri"/>
                <w:color w:val="000000"/>
                <w:sz w:val="18"/>
                <w:szCs w:val="18"/>
                <w:lang w:eastAsia="en-GB"/>
              </w:rPr>
            </w:pPr>
            <w:r w:rsidRPr="009A3D60">
              <w:rPr>
                <w:rFonts w:ascii="Calibri" w:eastAsia="Times New Roman" w:hAnsi="Calibri" w:cs="Calibri"/>
                <w:color w:val="000000"/>
                <w:sz w:val="18"/>
                <w:szCs w:val="18"/>
                <w:lang w:eastAsia="en-GB"/>
              </w:rPr>
              <w:t>Cheshire Northwich</w:t>
            </w:r>
          </w:p>
        </w:tc>
        <w:tc>
          <w:tcPr>
            <w:tcW w:w="1480" w:type="dxa"/>
            <w:tcBorders>
              <w:top w:val="nil"/>
              <w:left w:val="nil"/>
              <w:bottom w:val="single" w:sz="4" w:space="0" w:color="auto"/>
              <w:right w:val="single" w:sz="4" w:space="0" w:color="auto"/>
            </w:tcBorders>
            <w:shd w:val="clear" w:color="auto" w:fill="auto"/>
            <w:noWrap/>
            <w:hideMark/>
          </w:tcPr>
          <w:p w14:paraId="08A746E0" w14:textId="77777777" w:rsidR="005A5F70" w:rsidRPr="009A3D60" w:rsidRDefault="005A5F70" w:rsidP="002467A6">
            <w:pPr>
              <w:spacing w:after="0" w:line="240" w:lineRule="auto"/>
              <w:rPr>
                <w:rFonts w:ascii="Calibri" w:eastAsia="Times New Roman" w:hAnsi="Calibri" w:cs="Calibri"/>
                <w:color w:val="000000"/>
                <w:sz w:val="18"/>
                <w:szCs w:val="18"/>
                <w:lang w:eastAsia="en-GB"/>
              </w:rPr>
            </w:pPr>
            <w:r w:rsidRPr="009A3D60">
              <w:rPr>
                <w:rFonts w:ascii="Calibri" w:eastAsia="Times New Roman" w:hAnsi="Calibri" w:cs="Calibri"/>
                <w:color w:val="000000"/>
                <w:sz w:val="18"/>
                <w:szCs w:val="18"/>
                <w:lang w:eastAsia="en-GB"/>
              </w:rPr>
              <w:t>Cheshire basin</w:t>
            </w:r>
          </w:p>
        </w:tc>
        <w:tc>
          <w:tcPr>
            <w:tcW w:w="1120" w:type="dxa"/>
            <w:tcBorders>
              <w:top w:val="nil"/>
              <w:left w:val="nil"/>
              <w:bottom w:val="single" w:sz="4" w:space="0" w:color="auto"/>
              <w:right w:val="single" w:sz="4" w:space="0" w:color="auto"/>
            </w:tcBorders>
            <w:shd w:val="clear" w:color="auto" w:fill="auto"/>
            <w:noWrap/>
            <w:hideMark/>
          </w:tcPr>
          <w:p w14:paraId="1456A930" w14:textId="77777777" w:rsidR="005A5F70" w:rsidRPr="009A3D60" w:rsidRDefault="005A5F70" w:rsidP="002467A6">
            <w:pPr>
              <w:spacing w:after="0" w:line="240" w:lineRule="auto"/>
              <w:jc w:val="center"/>
              <w:rPr>
                <w:rFonts w:ascii="Calibri" w:eastAsia="Times New Roman" w:hAnsi="Calibri" w:cs="Calibri"/>
                <w:color w:val="000000"/>
                <w:sz w:val="18"/>
                <w:szCs w:val="18"/>
                <w:lang w:eastAsia="en-GB"/>
              </w:rPr>
            </w:pPr>
            <w:r w:rsidRPr="009A3D60">
              <w:rPr>
                <w:rFonts w:ascii="Calibri" w:eastAsia="Times New Roman" w:hAnsi="Calibri" w:cs="Calibri"/>
                <w:color w:val="000000"/>
                <w:sz w:val="18"/>
                <w:szCs w:val="18"/>
                <w:lang w:eastAsia="en-GB"/>
              </w:rPr>
              <w:t>H</w:t>
            </w:r>
          </w:p>
        </w:tc>
        <w:tc>
          <w:tcPr>
            <w:tcW w:w="960" w:type="dxa"/>
            <w:tcBorders>
              <w:top w:val="nil"/>
              <w:left w:val="nil"/>
              <w:bottom w:val="single" w:sz="4" w:space="0" w:color="auto"/>
              <w:right w:val="single" w:sz="4" w:space="0" w:color="auto"/>
            </w:tcBorders>
            <w:shd w:val="clear" w:color="auto" w:fill="auto"/>
            <w:noWrap/>
            <w:hideMark/>
          </w:tcPr>
          <w:p w14:paraId="5BA5578C" w14:textId="77777777" w:rsidR="005A5F70" w:rsidRPr="009A3D60" w:rsidRDefault="005A5F70" w:rsidP="002467A6">
            <w:pPr>
              <w:spacing w:after="0" w:line="240" w:lineRule="auto"/>
              <w:jc w:val="center"/>
              <w:rPr>
                <w:rFonts w:ascii="Calibri" w:eastAsia="Times New Roman" w:hAnsi="Calibri" w:cs="Calibri"/>
                <w:color w:val="000000"/>
                <w:sz w:val="18"/>
                <w:szCs w:val="18"/>
                <w:lang w:eastAsia="en-GB"/>
              </w:rPr>
            </w:pPr>
            <w:r w:rsidRPr="009A3D60">
              <w:rPr>
                <w:rFonts w:ascii="Calibri" w:eastAsia="Times New Roman" w:hAnsi="Calibri" w:cs="Calibri"/>
                <w:color w:val="000000"/>
                <w:sz w:val="18"/>
                <w:szCs w:val="18"/>
                <w:lang w:eastAsia="en-GB"/>
              </w:rPr>
              <w:t> </w:t>
            </w:r>
          </w:p>
        </w:tc>
        <w:tc>
          <w:tcPr>
            <w:tcW w:w="1140" w:type="dxa"/>
            <w:tcBorders>
              <w:top w:val="nil"/>
              <w:left w:val="nil"/>
              <w:bottom w:val="single" w:sz="4" w:space="0" w:color="auto"/>
              <w:right w:val="single" w:sz="4" w:space="0" w:color="auto"/>
            </w:tcBorders>
            <w:shd w:val="clear" w:color="auto" w:fill="auto"/>
            <w:noWrap/>
            <w:hideMark/>
          </w:tcPr>
          <w:p w14:paraId="711C9024" w14:textId="77777777" w:rsidR="005A5F70" w:rsidRPr="009A3D60" w:rsidRDefault="005A5F70" w:rsidP="002467A6">
            <w:pPr>
              <w:spacing w:after="0" w:line="240" w:lineRule="auto"/>
              <w:jc w:val="center"/>
              <w:rPr>
                <w:rFonts w:ascii="Calibri" w:eastAsia="Times New Roman" w:hAnsi="Calibri" w:cs="Calibri"/>
                <w:color w:val="000000"/>
                <w:sz w:val="18"/>
                <w:szCs w:val="18"/>
                <w:lang w:eastAsia="en-GB"/>
              </w:rPr>
            </w:pPr>
            <w:r w:rsidRPr="009A3D60">
              <w:rPr>
                <w:rFonts w:ascii="Calibri" w:eastAsia="Times New Roman" w:hAnsi="Calibri" w:cs="Calibri"/>
                <w:color w:val="000000"/>
                <w:sz w:val="18"/>
                <w:szCs w:val="18"/>
                <w:lang w:eastAsia="en-GB"/>
              </w:rPr>
              <w:t>x</w:t>
            </w:r>
          </w:p>
        </w:tc>
      </w:tr>
      <w:tr w:rsidR="005A5F70" w:rsidRPr="009A3D60" w14:paraId="10A394E4" w14:textId="77777777" w:rsidTr="002467A6">
        <w:trPr>
          <w:trHeight w:val="240"/>
        </w:trPr>
        <w:tc>
          <w:tcPr>
            <w:tcW w:w="960" w:type="dxa"/>
            <w:tcBorders>
              <w:top w:val="nil"/>
              <w:left w:val="nil"/>
              <w:bottom w:val="nil"/>
              <w:right w:val="nil"/>
            </w:tcBorders>
            <w:shd w:val="clear" w:color="auto" w:fill="auto"/>
            <w:noWrap/>
            <w:vAlign w:val="bottom"/>
            <w:hideMark/>
          </w:tcPr>
          <w:p w14:paraId="7E458225" w14:textId="77777777" w:rsidR="005A5F70" w:rsidRPr="009A3D60" w:rsidRDefault="005A5F70" w:rsidP="002467A6">
            <w:pPr>
              <w:spacing w:after="0" w:line="240" w:lineRule="auto"/>
              <w:jc w:val="center"/>
              <w:rPr>
                <w:rFonts w:ascii="Calibri" w:eastAsia="Times New Roman" w:hAnsi="Calibri" w:cs="Calibri"/>
                <w:color w:val="000000"/>
                <w:sz w:val="18"/>
                <w:szCs w:val="18"/>
                <w:lang w:eastAsia="en-GB"/>
              </w:rPr>
            </w:pPr>
          </w:p>
        </w:tc>
        <w:tc>
          <w:tcPr>
            <w:tcW w:w="1880" w:type="dxa"/>
            <w:tcBorders>
              <w:top w:val="nil"/>
              <w:left w:val="nil"/>
              <w:bottom w:val="nil"/>
              <w:right w:val="nil"/>
            </w:tcBorders>
            <w:shd w:val="clear" w:color="auto" w:fill="auto"/>
            <w:noWrap/>
            <w:vAlign w:val="bottom"/>
            <w:hideMark/>
          </w:tcPr>
          <w:p w14:paraId="4B9EC9D7" w14:textId="77777777" w:rsidR="005A5F70" w:rsidRPr="009A3D60" w:rsidRDefault="005A5F70" w:rsidP="002467A6">
            <w:pPr>
              <w:spacing w:after="0" w:line="240" w:lineRule="auto"/>
              <w:rPr>
                <w:rFonts w:ascii="Times New Roman" w:eastAsia="Times New Roman" w:hAnsi="Times New Roman" w:cs="Times New Roman"/>
                <w:sz w:val="20"/>
                <w:szCs w:val="20"/>
                <w:lang w:eastAsia="en-GB"/>
              </w:rPr>
            </w:pPr>
          </w:p>
        </w:tc>
        <w:tc>
          <w:tcPr>
            <w:tcW w:w="1480" w:type="dxa"/>
            <w:tcBorders>
              <w:top w:val="nil"/>
              <w:left w:val="nil"/>
              <w:bottom w:val="nil"/>
              <w:right w:val="nil"/>
            </w:tcBorders>
            <w:shd w:val="clear" w:color="auto" w:fill="auto"/>
            <w:noWrap/>
            <w:vAlign w:val="bottom"/>
            <w:hideMark/>
          </w:tcPr>
          <w:p w14:paraId="25B21573" w14:textId="77777777" w:rsidR="005A5F70" w:rsidRPr="009A3D60" w:rsidRDefault="005A5F70" w:rsidP="002467A6">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14:paraId="3BED962C" w14:textId="77777777" w:rsidR="005A5F70" w:rsidRPr="009A3D60" w:rsidRDefault="005A5F70" w:rsidP="002467A6">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4A6F512" w14:textId="77777777" w:rsidR="005A5F70" w:rsidRPr="009A3D60" w:rsidRDefault="005A5F70" w:rsidP="002467A6">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34147A46" w14:textId="77777777" w:rsidR="005A5F70" w:rsidRPr="009A3D60" w:rsidRDefault="005A5F70" w:rsidP="002467A6">
            <w:pPr>
              <w:spacing w:after="0" w:line="240" w:lineRule="auto"/>
              <w:rPr>
                <w:rFonts w:ascii="Times New Roman" w:eastAsia="Times New Roman" w:hAnsi="Times New Roman" w:cs="Times New Roman"/>
                <w:sz w:val="20"/>
                <w:szCs w:val="20"/>
                <w:lang w:eastAsia="en-GB"/>
              </w:rPr>
            </w:pPr>
          </w:p>
        </w:tc>
      </w:tr>
      <w:tr w:rsidR="005A5F70" w:rsidRPr="009A3D60" w14:paraId="32F6E2CA" w14:textId="77777777" w:rsidTr="002467A6">
        <w:trPr>
          <w:trHeight w:val="240"/>
        </w:trPr>
        <w:tc>
          <w:tcPr>
            <w:tcW w:w="7540" w:type="dxa"/>
            <w:gridSpan w:val="6"/>
            <w:tcBorders>
              <w:top w:val="nil"/>
              <w:left w:val="nil"/>
              <w:bottom w:val="nil"/>
              <w:right w:val="nil"/>
            </w:tcBorders>
            <w:shd w:val="clear" w:color="auto" w:fill="auto"/>
            <w:noWrap/>
            <w:vAlign w:val="bottom"/>
            <w:hideMark/>
          </w:tcPr>
          <w:p w14:paraId="6E93B0EA" w14:textId="77777777" w:rsidR="005A5F70" w:rsidRPr="009A3D60" w:rsidRDefault="005A5F70" w:rsidP="002467A6">
            <w:pPr>
              <w:spacing w:after="0" w:line="240" w:lineRule="auto"/>
              <w:rPr>
                <w:rFonts w:ascii="Calibri" w:eastAsia="Times New Roman" w:hAnsi="Calibri" w:cs="Calibri"/>
                <w:i/>
                <w:iCs/>
                <w:color w:val="000000"/>
                <w:sz w:val="18"/>
                <w:szCs w:val="18"/>
                <w:lang w:eastAsia="en-GB"/>
              </w:rPr>
            </w:pPr>
            <w:r w:rsidRPr="009A3D60">
              <w:rPr>
                <w:rFonts w:ascii="Calibri" w:eastAsia="Times New Roman" w:hAnsi="Calibri" w:cs="Calibri"/>
                <w:i/>
                <w:iCs/>
                <w:color w:val="000000"/>
                <w:sz w:val="18"/>
                <w:szCs w:val="18"/>
                <w:lang w:eastAsia="en-GB"/>
              </w:rPr>
              <w:t xml:space="preserve">*M = </w:t>
            </w:r>
            <w:proofErr w:type="spellStart"/>
            <w:r w:rsidRPr="009A3D60">
              <w:rPr>
                <w:rFonts w:ascii="Calibri" w:eastAsia="Times New Roman" w:hAnsi="Calibri" w:cs="Calibri"/>
                <w:i/>
                <w:iCs/>
                <w:color w:val="000000"/>
                <w:sz w:val="18"/>
                <w:szCs w:val="18"/>
                <w:lang w:eastAsia="en-GB"/>
              </w:rPr>
              <w:t>mylonite</w:t>
            </w:r>
            <w:proofErr w:type="spellEnd"/>
            <w:r w:rsidRPr="009A3D60">
              <w:rPr>
                <w:rFonts w:ascii="Calibri" w:eastAsia="Times New Roman" w:hAnsi="Calibri" w:cs="Calibri"/>
                <w:i/>
                <w:iCs/>
                <w:color w:val="000000"/>
                <w:sz w:val="18"/>
                <w:szCs w:val="18"/>
                <w:lang w:eastAsia="en-GB"/>
              </w:rPr>
              <w:t xml:space="preserve">, PFM = primary founded mat, CW = chicken wire, C = cumulate, H = </w:t>
            </w:r>
            <w:proofErr w:type="spellStart"/>
            <w:r w:rsidRPr="009A3D60">
              <w:rPr>
                <w:rFonts w:ascii="Calibri" w:eastAsia="Times New Roman" w:hAnsi="Calibri" w:cs="Calibri"/>
                <w:i/>
                <w:iCs/>
                <w:color w:val="000000"/>
                <w:sz w:val="18"/>
                <w:szCs w:val="18"/>
                <w:lang w:eastAsia="en-GB"/>
              </w:rPr>
              <w:t>Haselgebirge</w:t>
            </w:r>
            <w:proofErr w:type="spellEnd"/>
          </w:p>
        </w:tc>
      </w:tr>
    </w:tbl>
    <w:p w14:paraId="51FC8C02" w14:textId="77777777" w:rsidR="00771580" w:rsidRPr="0069576A" w:rsidRDefault="00771580" w:rsidP="00A43E1D">
      <w:pPr>
        <w:jc w:val="both"/>
      </w:pPr>
    </w:p>
    <w:p w14:paraId="60940EC7" w14:textId="77777777" w:rsidR="002B06D3" w:rsidRPr="006B56B4" w:rsidRDefault="002B06D3" w:rsidP="006B56B4">
      <w:pPr>
        <w:pStyle w:val="Heading3"/>
        <w:rPr>
          <w:rFonts w:asciiTheme="minorHAnsi" w:hAnsiTheme="minorHAnsi"/>
          <w:sz w:val="24"/>
          <w:szCs w:val="24"/>
        </w:rPr>
      </w:pPr>
      <w:r w:rsidRPr="006B56B4">
        <w:rPr>
          <w:rFonts w:asciiTheme="minorHAnsi" w:hAnsiTheme="minorHAnsi"/>
          <w:sz w:val="24"/>
          <w:szCs w:val="24"/>
        </w:rPr>
        <w:t>Exper</w:t>
      </w:r>
      <w:r w:rsidR="00E270D6" w:rsidRPr="006B56B4">
        <w:rPr>
          <w:rFonts w:asciiTheme="minorHAnsi" w:hAnsiTheme="minorHAnsi"/>
          <w:sz w:val="24"/>
          <w:szCs w:val="24"/>
        </w:rPr>
        <w:t>imental set-up</w:t>
      </w:r>
      <w:r w:rsidR="004D02BB" w:rsidRPr="006B56B4">
        <w:rPr>
          <w:rFonts w:asciiTheme="minorHAnsi" w:hAnsiTheme="minorHAnsi"/>
          <w:sz w:val="24"/>
          <w:szCs w:val="24"/>
        </w:rPr>
        <w:t xml:space="preserve"> </w:t>
      </w:r>
    </w:p>
    <w:p w14:paraId="226728F6" w14:textId="04E9D493" w:rsidR="009455B1" w:rsidRPr="00BB648F" w:rsidRDefault="00E270D6" w:rsidP="009455B1">
      <w:pPr>
        <w:jc w:val="both"/>
        <w:rPr>
          <w:color w:val="FF0000"/>
        </w:rPr>
      </w:pPr>
      <w:r w:rsidRPr="00E270D6">
        <w:t xml:space="preserve">The </w:t>
      </w:r>
      <w:r w:rsidR="00612E55">
        <w:t xml:space="preserve">experimental setup is </w:t>
      </w:r>
      <w:r w:rsidR="00612E55" w:rsidRPr="00191455">
        <w:t>shown in Figure 2A and B</w:t>
      </w:r>
      <w:r w:rsidR="00191455" w:rsidRPr="00191455">
        <w:t xml:space="preserve"> of the paper</w:t>
      </w:r>
      <w:r w:rsidR="00612E55" w:rsidRPr="00191455">
        <w:t xml:space="preserve">. The </w:t>
      </w:r>
      <w:r w:rsidR="009B6C20" w:rsidRPr="00191455">
        <w:t>cores</w:t>
      </w:r>
      <w:r w:rsidR="009B6C20">
        <w:t xml:space="preserve"> were pre-</w:t>
      </w:r>
      <w:r>
        <w:t xml:space="preserve">drilled in the centre with a </w:t>
      </w:r>
      <w:r w:rsidR="0093145F">
        <w:t>four</w:t>
      </w:r>
      <w:r>
        <w:t xml:space="preserve"> mm diameter </w:t>
      </w:r>
      <w:r w:rsidR="001B2237">
        <w:t>pilot-hole</w:t>
      </w:r>
      <w:r>
        <w:t xml:space="preserve">. </w:t>
      </w:r>
      <w:r w:rsidR="004E35F1">
        <w:t xml:space="preserve">This </w:t>
      </w:r>
      <w:r w:rsidR="007D536B">
        <w:t>pilot-hole</w:t>
      </w:r>
      <w:r w:rsidR="004E35F1">
        <w:t xml:space="preserve"> is in part </w:t>
      </w:r>
      <w:r w:rsidR="007D536B">
        <w:t xml:space="preserve">analogous </w:t>
      </w:r>
      <w:r w:rsidR="004E35F1">
        <w:t xml:space="preserve">of the pilot borehole, present within a full-scale cavern. </w:t>
      </w:r>
      <w:r w:rsidR="009B6C20">
        <w:t xml:space="preserve">The solution was injected into the pre-drilled hole from the top by a peristaltic pump </w:t>
      </w:r>
      <w:r w:rsidR="009B6C20" w:rsidRPr="00D04BC3">
        <w:t xml:space="preserve">at a constant flow rate of 0.58 ± 0.02 ml/min </w:t>
      </w:r>
      <w:r w:rsidR="009B6C20">
        <w:t>and a fluid temperature of 23 ±</w:t>
      </w:r>
      <w:r w:rsidR="009B6C20" w:rsidRPr="00D04BC3">
        <w:t xml:space="preserve">1 </w:t>
      </w:r>
      <w:proofErr w:type="spellStart"/>
      <w:r w:rsidR="009B6C20" w:rsidRPr="00D04BC3">
        <w:rPr>
          <w:vertAlign w:val="superscript"/>
        </w:rPr>
        <w:t>o</w:t>
      </w:r>
      <w:r w:rsidR="009B6C20" w:rsidRPr="00D04BC3">
        <w:t>C.</w:t>
      </w:r>
      <w:proofErr w:type="spellEnd"/>
      <w:r w:rsidR="009B6C20" w:rsidRPr="00D04BC3">
        <w:t xml:space="preserve"> </w:t>
      </w:r>
      <w:r w:rsidR="009B6C20">
        <w:t xml:space="preserve"> Two solutions were used for the experiments: e</w:t>
      </w:r>
      <w:r w:rsidR="009B6C20" w:rsidRPr="00D04BC3">
        <w:t xml:space="preserve">xperimental set A used a brine with a concentration of 270 g/l NaCl; and experimental set B used </w:t>
      </w:r>
      <w:r w:rsidR="009B6C20">
        <w:t xml:space="preserve">a commercially available artificial </w:t>
      </w:r>
      <w:r w:rsidR="009B6C20" w:rsidRPr="00D04BC3">
        <w:t>seawater (</w:t>
      </w:r>
      <w:r w:rsidR="009B6C20">
        <w:t>D-D H</w:t>
      </w:r>
      <w:r w:rsidR="009B6C20" w:rsidRPr="00D04BC3">
        <w:rPr>
          <w:vertAlign w:val="subscript"/>
        </w:rPr>
        <w:t>2</w:t>
      </w:r>
      <w:r w:rsidR="009B6C20">
        <w:t xml:space="preserve">O </w:t>
      </w:r>
      <w:r w:rsidR="009B6C20">
        <w:lastRenderedPageBreak/>
        <w:t xml:space="preserve">Ocean Pro+ Aquarium Salt: </w:t>
      </w:r>
      <w:r w:rsidR="009B6C20" w:rsidRPr="00D04BC3">
        <w:t>24 g/l</w:t>
      </w:r>
      <w:r w:rsidR="009B6C20">
        <w:t xml:space="preserve"> </w:t>
      </w:r>
      <w:r w:rsidR="009B6C20" w:rsidRPr="00D04BC3">
        <w:t xml:space="preserve">NaCl). </w:t>
      </w:r>
      <w:r w:rsidR="009455B1">
        <w:t>S</w:t>
      </w:r>
      <w:r w:rsidR="009455B1" w:rsidRPr="00BC27AC">
        <w:t>odium fluorescein was</w:t>
      </w:r>
      <w:r w:rsidR="009455B1">
        <w:t xml:space="preserve"> also</w:t>
      </w:r>
      <w:r w:rsidR="009455B1" w:rsidRPr="00BC27AC">
        <w:t xml:space="preserve"> </w:t>
      </w:r>
      <w:r w:rsidR="009455B1">
        <w:t xml:space="preserve">used in the inlet fluid </w:t>
      </w:r>
      <w:r w:rsidR="009455B1" w:rsidRPr="00BC27AC">
        <w:t xml:space="preserve">as a fluorescent tracer </w:t>
      </w:r>
      <w:r w:rsidR="009455B1">
        <w:t xml:space="preserve">dye to monitor the extent of </w:t>
      </w:r>
      <w:r w:rsidR="0078551D">
        <w:t>any</w:t>
      </w:r>
      <w:r w:rsidR="0078551D" w:rsidRPr="00BC27AC">
        <w:t xml:space="preserve"> </w:t>
      </w:r>
      <w:r w:rsidR="009455B1">
        <w:t>fluid transport</w:t>
      </w:r>
      <w:r w:rsidR="009455B1" w:rsidRPr="00BC27AC">
        <w:t xml:space="preserve"> into the salt core. </w:t>
      </w:r>
    </w:p>
    <w:p w14:paraId="2B07D145" w14:textId="77777777" w:rsidR="009B6C20" w:rsidRDefault="009B6C20" w:rsidP="009B6C20">
      <w:pPr>
        <w:jc w:val="both"/>
      </w:pPr>
      <w:r>
        <w:t xml:space="preserve">One salt core of each of the five end-member fabrics was used with each fluid. </w:t>
      </w:r>
    </w:p>
    <w:p w14:paraId="65F409E6" w14:textId="0455D3BB" w:rsidR="00E270D6" w:rsidRDefault="00E270D6" w:rsidP="00A43E1D">
      <w:pPr>
        <w:jc w:val="both"/>
      </w:pPr>
      <w:r>
        <w:t xml:space="preserve">To prevent leakage and ensure that the experimental fluid was transported into the </w:t>
      </w:r>
      <w:r w:rsidR="001B2237">
        <w:t>pilot-hole</w:t>
      </w:r>
      <w:r>
        <w:t xml:space="preserve">, each end of the salt </w:t>
      </w:r>
      <w:r w:rsidR="004F7467">
        <w:t xml:space="preserve">cores </w:t>
      </w:r>
      <w:r w:rsidR="004411B1">
        <w:t>was</w:t>
      </w:r>
      <w:r w:rsidR="00825D49">
        <w:t xml:space="preserve"> capped with machined clear acrylic (polymethyl methacrylate) </w:t>
      </w:r>
      <w:r>
        <w:t>end cap</w:t>
      </w:r>
      <w:r w:rsidR="00825D49">
        <w:t>s</w:t>
      </w:r>
      <w:r w:rsidR="0078551D">
        <w:t xml:space="preserve"> and</w:t>
      </w:r>
      <w:r>
        <w:t xml:space="preserve"> sealed </w:t>
      </w:r>
      <w:r w:rsidR="00825D49">
        <w:t xml:space="preserve">with air cured </w:t>
      </w:r>
      <w:r w:rsidR="004F7467">
        <w:t>silicon</w:t>
      </w:r>
      <w:r w:rsidR="00825D49">
        <w:t xml:space="preserve">e rubber. </w:t>
      </w:r>
      <w:proofErr w:type="spellStart"/>
      <w:r w:rsidR="00825D49">
        <w:t>Perfluoroalkoxy</w:t>
      </w:r>
      <w:proofErr w:type="spellEnd"/>
      <w:r w:rsidR="00825D49">
        <w:t xml:space="preserve"> alkane (PFA) bulkhead compression fittings with an anti-slip ring were</w:t>
      </w:r>
      <w:r w:rsidR="004F7467">
        <w:t xml:space="preserve"> affixed to the end caps to hold the tubing</w:t>
      </w:r>
      <w:r w:rsidR="00825D49">
        <w:t xml:space="preserve"> (also PFA)</w:t>
      </w:r>
      <w:r w:rsidR="004F7467">
        <w:t xml:space="preserve"> in place. </w:t>
      </w:r>
    </w:p>
    <w:p w14:paraId="5E2CA17B" w14:textId="6907A545" w:rsidR="009B6C20" w:rsidRDefault="009B6C20" w:rsidP="00A43E1D">
      <w:pPr>
        <w:jc w:val="both"/>
      </w:pPr>
      <w:r w:rsidRPr="00BA779B">
        <w:t xml:space="preserve">The </w:t>
      </w:r>
      <w:r>
        <w:t>duration of the experiments</w:t>
      </w:r>
      <w:r w:rsidRPr="00BA779B">
        <w:t xml:space="preserve"> varied</w:t>
      </w:r>
      <w:r>
        <w:t xml:space="preserve"> across the experimental runs: experiments were </w:t>
      </w:r>
      <w:r w:rsidR="007D536B">
        <w:t xml:space="preserve">terminated </w:t>
      </w:r>
      <w:r>
        <w:t xml:space="preserve">when the total volume of the initial </w:t>
      </w:r>
      <w:r w:rsidR="009455B1">
        <w:t>pilot-</w:t>
      </w:r>
      <w:r w:rsidR="009B4658">
        <w:t>hole (~ 1250 m</w:t>
      </w:r>
      <w:r>
        <w:t>m</w:t>
      </w:r>
      <w:r w:rsidRPr="00BC27AC">
        <w:rPr>
          <w:vertAlign w:val="superscript"/>
        </w:rPr>
        <w:t>3</w:t>
      </w:r>
      <w:r>
        <w:t xml:space="preserve">) had expanded by at least 10 times from the start of the experiment. Experimental set B </w:t>
      </w:r>
      <w:r w:rsidR="007D536B">
        <w:t>were of shorter duration</w:t>
      </w:r>
      <w:r>
        <w:t xml:space="preserve"> because of the anticipated faster salt dissolution rates related to the more diluted injected sea water solution. For runs longer than 7 hours the pumping of fluid was paused overnight, and the salt core drained and weighted, with the fluid injection being resumed the following day. This allowed tighter control of the dissolution experiment conditions, particularly in case of fluid loss by seepage through the bottom or top caps, or break-out through the salt core itself.</w:t>
      </w:r>
      <w:r w:rsidR="00D21D73">
        <w:t xml:space="preserve"> The whole salt core assemblage was initially weighed, and then subsequently at the end of each leaching period</w:t>
      </w:r>
      <w:r w:rsidR="00D21D73" w:rsidRPr="00BC2E13">
        <w:t xml:space="preserve"> </w:t>
      </w:r>
      <w:r w:rsidR="00D21D73">
        <w:t xml:space="preserve">to estimate the rate of mass loss during the dissolution experiments. </w:t>
      </w:r>
    </w:p>
    <w:p w14:paraId="713BDF38" w14:textId="0EF0E3D7" w:rsidR="009B6C20" w:rsidRPr="00D21D73" w:rsidRDefault="009B6C20" w:rsidP="00A43E1D">
      <w:pPr>
        <w:jc w:val="both"/>
        <w:rPr>
          <w:color w:val="2E74B5" w:themeColor="accent1" w:themeShade="BF"/>
        </w:rPr>
      </w:pPr>
      <w:r>
        <w:t>After passing through the salt cores, the fluids at the bottom outlet were collected for analysis in 15ml to 30 ml tubes, using a fraction collector.</w:t>
      </w:r>
      <w:r w:rsidR="00D21D73">
        <w:t xml:space="preserve"> </w:t>
      </w:r>
    </w:p>
    <w:p w14:paraId="29386EAC" w14:textId="77777777" w:rsidR="00014936" w:rsidRPr="006B56B4" w:rsidRDefault="00014936" w:rsidP="006B56B4">
      <w:pPr>
        <w:pStyle w:val="Heading3"/>
        <w:rPr>
          <w:rFonts w:asciiTheme="minorHAnsi" w:hAnsiTheme="minorHAnsi"/>
          <w:sz w:val="24"/>
          <w:szCs w:val="24"/>
        </w:rPr>
      </w:pPr>
      <w:r w:rsidRPr="006B56B4">
        <w:rPr>
          <w:rFonts w:asciiTheme="minorHAnsi" w:hAnsiTheme="minorHAnsi"/>
          <w:sz w:val="24"/>
          <w:szCs w:val="24"/>
        </w:rPr>
        <w:t>Analytical Methods</w:t>
      </w:r>
    </w:p>
    <w:p w14:paraId="74FA8649" w14:textId="23D8CF87" w:rsidR="00D668AB" w:rsidRPr="001B74A6" w:rsidRDefault="00CC50F1" w:rsidP="001B74A6">
      <w:pPr>
        <w:pStyle w:val="Heading3"/>
        <w:rPr>
          <w:rFonts w:asciiTheme="minorHAnsi" w:hAnsiTheme="minorHAnsi"/>
          <w:i/>
          <w:sz w:val="22"/>
          <w:szCs w:val="22"/>
        </w:rPr>
      </w:pPr>
      <w:r w:rsidRPr="001B74A6">
        <w:rPr>
          <w:rFonts w:asciiTheme="minorHAnsi" w:hAnsiTheme="minorHAnsi"/>
          <w:i/>
          <w:sz w:val="22"/>
          <w:szCs w:val="22"/>
        </w:rPr>
        <w:t>Fluid</w:t>
      </w:r>
      <w:r w:rsidR="00D21D73" w:rsidRPr="001B74A6">
        <w:rPr>
          <w:rFonts w:asciiTheme="minorHAnsi" w:hAnsiTheme="minorHAnsi"/>
          <w:i/>
          <w:sz w:val="22"/>
          <w:szCs w:val="22"/>
        </w:rPr>
        <w:t xml:space="preserve"> measurements </w:t>
      </w:r>
    </w:p>
    <w:p w14:paraId="6BAAB56F" w14:textId="31D25A1F" w:rsidR="0011492E" w:rsidRDefault="0011492E" w:rsidP="0083498B">
      <w:pPr>
        <w:jc w:val="both"/>
      </w:pPr>
      <w:r>
        <w:t>Measurements and analysis carried out on the fluids included: chloride concentration, seawater fluid density, volumetric flo</w:t>
      </w:r>
      <w:r w:rsidR="00420C3C">
        <w:t xml:space="preserve">w rate, </w:t>
      </w:r>
      <w:r>
        <w:t xml:space="preserve">and temperature of the solutions. </w:t>
      </w:r>
      <w:r w:rsidR="00420C3C">
        <w:t xml:space="preserve">Electrical conductivity was measured for all the seawater experiments, and the </w:t>
      </w:r>
      <w:r w:rsidR="00AB70BD">
        <w:t xml:space="preserve">primary founded mat </w:t>
      </w:r>
      <w:r w:rsidR="00420C3C">
        <w:t xml:space="preserve">and </w:t>
      </w:r>
      <w:proofErr w:type="spellStart"/>
      <w:r w:rsidR="00420C3C">
        <w:t>mylonite</w:t>
      </w:r>
      <w:proofErr w:type="spellEnd"/>
      <w:r w:rsidR="00420C3C">
        <w:t xml:space="preserve"> brine experiments. </w:t>
      </w:r>
      <w:r>
        <w:t xml:space="preserve">Methodology is summarised below: </w:t>
      </w:r>
    </w:p>
    <w:p w14:paraId="578983C6" w14:textId="1270A56A" w:rsidR="00D21D73" w:rsidRDefault="0011492E" w:rsidP="0083498B">
      <w:pPr>
        <w:jc w:val="both"/>
      </w:pPr>
      <w:r>
        <w:t xml:space="preserve">A subset of </w:t>
      </w:r>
      <w:r w:rsidR="00420C3C">
        <w:t xml:space="preserve">fluid </w:t>
      </w:r>
      <w:r>
        <w:t>sampl</w:t>
      </w:r>
      <w:r w:rsidR="003A7142">
        <w:t>es was</w:t>
      </w:r>
      <w:r>
        <w:t xml:space="preserve"> analysed for chloride concentration</w:t>
      </w:r>
      <w:r w:rsidR="00D21D73">
        <w:t xml:space="preserve"> to determine the rate of halite dissolution. </w:t>
      </w:r>
      <w:r w:rsidR="00D21D73" w:rsidRPr="0083498B">
        <w:t>The fluid densi</w:t>
      </w:r>
      <w:r w:rsidR="00D21D73">
        <w:t xml:space="preserve">ty for the seawater </w:t>
      </w:r>
      <w:r w:rsidR="00D21D73" w:rsidRPr="0083498B">
        <w:t>experiments</w:t>
      </w:r>
      <w:r w:rsidR="00D21D73">
        <w:t xml:space="preserve"> was calculated</w:t>
      </w:r>
      <w:r w:rsidR="00420C3C">
        <w:t xml:space="preserve"> by weighing the fluid</w:t>
      </w:r>
      <w:r w:rsidR="00D21D73" w:rsidRPr="0083498B">
        <w:t xml:space="preserve"> in </w:t>
      </w:r>
      <w:r w:rsidR="00D21D73" w:rsidRPr="00B64221">
        <w:t xml:space="preserve">each </w:t>
      </w:r>
      <w:r w:rsidR="00D21D73" w:rsidRPr="007D536B">
        <w:t xml:space="preserve">sampling </w:t>
      </w:r>
      <w:r w:rsidR="003D16E1" w:rsidRPr="007D536B">
        <w:t>tube</w:t>
      </w:r>
      <w:r w:rsidR="00D21D73" w:rsidRPr="00B64221">
        <w:t xml:space="preserve"> and</w:t>
      </w:r>
      <w:r w:rsidR="00D21D73" w:rsidRPr="0083498B">
        <w:t xml:space="preserve"> measuring its volume.</w:t>
      </w:r>
    </w:p>
    <w:p w14:paraId="7E158680" w14:textId="0686A196" w:rsidR="0083498B" w:rsidRDefault="0083498B" w:rsidP="0083498B">
      <w:pPr>
        <w:jc w:val="both"/>
      </w:pPr>
      <w:r>
        <w:t xml:space="preserve">The volumetric flow rate Q (ml/min) during the experiments was obtained by measuring the volume of brine collected in each sampling </w:t>
      </w:r>
      <w:r w:rsidR="003D16E1">
        <w:t>tube</w:t>
      </w:r>
      <w:r>
        <w:t xml:space="preserve"> divided by the collection time.</w:t>
      </w:r>
      <w:r w:rsidRPr="00D13FC3">
        <w:t xml:space="preserve"> </w:t>
      </w:r>
      <w:r>
        <w:t>Initial velocity V</w:t>
      </w:r>
      <w:r w:rsidRPr="00BC27AC">
        <w:rPr>
          <w:vertAlign w:val="subscript"/>
        </w:rPr>
        <w:t>i</w:t>
      </w:r>
      <w:r w:rsidR="00611BDA">
        <w:t xml:space="preserve"> was</w:t>
      </w:r>
      <w:r>
        <w:t xml:space="preserve"> calculated as Q/A</w:t>
      </w:r>
      <w:r w:rsidRPr="00184483">
        <w:rPr>
          <w:vertAlign w:val="subscript"/>
        </w:rPr>
        <w:t>i</w:t>
      </w:r>
      <w:r>
        <w:t>, where A</w:t>
      </w:r>
      <w:r w:rsidRPr="00184483">
        <w:rPr>
          <w:vertAlign w:val="subscript"/>
        </w:rPr>
        <w:t>i</w:t>
      </w:r>
      <w:r w:rsidRPr="00BC27AC">
        <w:t xml:space="preserve"> denotes </w:t>
      </w:r>
      <w:r>
        <w:t>the area of the init</w:t>
      </w:r>
      <w:r w:rsidR="009B4658">
        <w:t>ial drilled hole section of 1.26 m</w:t>
      </w:r>
      <w:r>
        <w:t>m</w:t>
      </w:r>
      <w:r w:rsidRPr="00BC27AC">
        <w:rPr>
          <w:vertAlign w:val="superscript"/>
        </w:rPr>
        <w:t>2</w:t>
      </w:r>
      <w:r>
        <w:t>.</w:t>
      </w:r>
      <w:r w:rsidRPr="001943E9">
        <w:t xml:space="preserve"> </w:t>
      </w:r>
      <w:r>
        <w:t xml:space="preserve">For the measured </w:t>
      </w:r>
      <w:r w:rsidRPr="00D04BC3">
        <w:t>flow rate of 0.58 ± 0.02 ml/min</w:t>
      </w:r>
      <w:r>
        <w:t>, V</w:t>
      </w:r>
      <w:r w:rsidRPr="00132852">
        <w:rPr>
          <w:vertAlign w:val="subscript"/>
        </w:rPr>
        <w:t>i</w:t>
      </w:r>
      <w:r>
        <w:t xml:space="preserve"> was 44 </w:t>
      </w:r>
      <w:r w:rsidRPr="00D04BC3">
        <w:t>± 2</w:t>
      </w:r>
      <w:r w:rsidR="009B4658">
        <w:t xml:space="preserve"> </w:t>
      </w:r>
      <w:r>
        <w:t xml:space="preserve">mm/min. </w:t>
      </w:r>
    </w:p>
    <w:p w14:paraId="76BCBA36" w14:textId="1416DE37" w:rsidR="00D21D73" w:rsidRDefault="0083498B" w:rsidP="00A43E1D">
      <w:pPr>
        <w:jc w:val="both"/>
      </w:pPr>
      <w:r>
        <w:t>Electrical c</w:t>
      </w:r>
      <w:r w:rsidRPr="00D13FC3">
        <w:t xml:space="preserve">onductivity </w:t>
      </w:r>
      <w:r>
        <w:t xml:space="preserve">and temperature </w:t>
      </w:r>
      <w:r w:rsidRPr="00D13FC3">
        <w:t xml:space="preserve">of the </w:t>
      </w:r>
      <w:r>
        <w:t xml:space="preserve">solutions </w:t>
      </w:r>
      <w:r w:rsidRPr="00D13FC3">
        <w:t xml:space="preserve">at the </w:t>
      </w:r>
      <w:r>
        <w:t xml:space="preserve">core inlet and </w:t>
      </w:r>
      <w:r w:rsidRPr="00D13FC3">
        <w:t>outlet</w:t>
      </w:r>
      <w:r>
        <w:t xml:space="preserve"> were</w:t>
      </w:r>
      <w:r w:rsidRPr="00D13FC3">
        <w:t xml:space="preserve"> measured with a Toledo Seven Gro pro SG7 </w:t>
      </w:r>
      <w:r w:rsidR="00611BDA" w:rsidRPr="00D13FC3">
        <w:t xml:space="preserve">conductivity meter </w:t>
      </w:r>
      <w:r w:rsidRPr="00D13FC3">
        <w:t xml:space="preserve">with probe </w:t>
      </w:r>
      <w:proofErr w:type="spellStart"/>
      <w:r w:rsidRPr="00D13FC3">
        <w:t>InLab</w:t>
      </w:r>
      <w:proofErr w:type="spellEnd"/>
      <w:r w:rsidRPr="00D13FC3">
        <w:t xml:space="preserve"> 783 (conductivity range 0.0</w:t>
      </w:r>
      <w:r w:rsidR="009B4658">
        <w:t>01 to 100</w:t>
      </w:r>
      <w:r w:rsidRPr="00D13FC3">
        <w:t xml:space="preserve"> mS/</w:t>
      </w:r>
      <w:r w:rsidR="009B4658">
        <w:t>m</w:t>
      </w:r>
      <w:r w:rsidRPr="00D13FC3">
        <w:t>m).</w:t>
      </w:r>
      <w:r>
        <w:t xml:space="preserve"> The conductivity of a reference solution saturated in NaCl at the same temperature of the dissolution</w:t>
      </w:r>
      <w:r w:rsidR="0011492E">
        <w:t xml:space="preserve"> experiments was also measured.</w:t>
      </w:r>
    </w:p>
    <w:p w14:paraId="77C1EF6B" w14:textId="24D99BC3" w:rsidR="00D21D73" w:rsidRPr="001B74A6" w:rsidRDefault="003D16E1" w:rsidP="00191455">
      <w:pPr>
        <w:pStyle w:val="Heading3"/>
        <w:keepNext/>
        <w:keepLines/>
        <w:rPr>
          <w:rFonts w:asciiTheme="minorHAnsi" w:hAnsiTheme="minorHAnsi"/>
          <w:i/>
          <w:sz w:val="22"/>
          <w:szCs w:val="22"/>
        </w:rPr>
      </w:pPr>
      <w:r w:rsidRPr="001B74A6">
        <w:rPr>
          <w:rFonts w:asciiTheme="minorHAnsi" w:hAnsiTheme="minorHAnsi"/>
          <w:i/>
          <w:sz w:val="22"/>
          <w:szCs w:val="22"/>
        </w:rPr>
        <w:lastRenderedPageBreak/>
        <w:t>Fluid g</w:t>
      </w:r>
      <w:r w:rsidR="00A30705" w:rsidRPr="001B74A6">
        <w:rPr>
          <w:rFonts w:asciiTheme="minorHAnsi" w:hAnsiTheme="minorHAnsi"/>
          <w:i/>
          <w:sz w:val="22"/>
          <w:szCs w:val="22"/>
        </w:rPr>
        <w:t>eochemistry</w:t>
      </w:r>
    </w:p>
    <w:p w14:paraId="49FE9B80" w14:textId="6FF58974" w:rsidR="00961942" w:rsidRDefault="00961942" w:rsidP="00191455">
      <w:pPr>
        <w:keepNext/>
        <w:keepLines/>
        <w:jc w:val="both"/>
      </w:pPr>
      <w:r w:rsidRPr="0061397F">
        <w:rPr>
          <w:rFonts w:cs="Times New Roman"/>
        </w:rPr>
        <w:t xml:space="preserve">Collected fluids were analysed for cations (Ca, Mg, Na, K, Si, Ba, Sr, Mn, </w:t>
      </w:r>
      <w:r w:rsidR="00A43E1D" w:rsidRPr="0061397F">
        <w:rPr>
          <w:rFonts w:cs="Times New Roman"/>
        </w:rPr>
        <w:t>Total Fe, P and</w:t>
      </w:r>
      <w:r w:rsidRPr="0061397F">
        <w:rPr>
          <w:rFonts w:cs="Times New Roman"/>
        </w:rPr>
        <w:t xml:space="preserve"> S, and selected trace elements) by inductively-coupled plasma – mass spectrometry (ICP-MS) using an Agilent 7500CX. </w:t>
      </w:r>
      <w:r w:rsidRPr="0061397F">
        <w:t xml:space="preserve">Ongoing halite dissolution was measured </w:t>
      </w:r>
      <w:r w:rsidR="00A43E1D" w:rsidRPr="0061397F">
        <w:t>(</w:t>
      </w:r>
      <w:r w:rsidR="00A43E1D" w:rsidRPr="002B7883">
        <w:t>Cl</w:t>
      </w:r>
      <w:r w:rsidR="00A43E1D" w:rsidRPr="002B7883">
        <w:rPr>
          <w:vertAlign w:val="superscript"/>
        </w:rPr>
        <w:t>-</w:t>
      </w:r>
      <w:r w:rsidR="00A43E1D" w:rsidRPr="002B7883">
        <w:t>, SO</w:t>
      </w:r>
      <w:r w:rsidR="00A43E1D" w:rsidRPr="002B7883">
        <w:rPr>
          <w:vertAlign w:val="subscript"/>
        </w:rPr>
        <w:t>4</w:t>
      </w:r>
      <w:r w:rsidR="00A43E1D" w:rsidRPr="002B7883">
        <w:rPr>
          <w:vertAlign w:val="superscript"/>
        </w:rPr>
        <w:t>2-</w:t>
      </w:r>
      <w:r w:rsidR="00A43E1D" w:rsidRPr="002B7883">
        <w:t>, NO</w:t>
      </w:r>
      <w:r w:rsidR="00A43E1D" w:rsidRPr="002B7883">
        <w:rPr>
          <w:vertAlign w:val="subscript"/>
        </w:rPr>
        <w:t>3</w:t>
      </w:r>
      <w:r w:rsidR="00A43E1D" w:rsidRPr="002B7883">
        <w:rPr>
          <w:vertAlign w:val="superscript"/>
        </w:rPr>
        <w:t>-</w:t>
      </w:r>
      <w:r w:rsidRPr="002B7883">
        <w:t>)</w:t>
      </w:r>
      <w:r w:rsidRPr="0061397F">
        <w:t xml:space="preserve"> for a sub-set of brine samples using a hand-held “chloride ion selective” probe calibrated against analysis of chloride concentrations by Ion Chromatography (IC) on a </w:t>
      </w:r>
      <w:r w:rsidR="00D8407E">
        <w:rPr>
          <w:rFonts w:cs="Times New Roman"/>
        </w:rPr>
        <w:t>Thermo-Fisher</w:t>
      </w:r>
      <w:r w:rsidR="00223A57" w:rsidRPr="0061397F">
        <w:rPr>
          <w:rFonts w:cs="Times New Roman"/>
        </w:rPr>
        <w:t xml:space="preserve"> </w:t>
      </w:r>
      <w:r w:rsidRPr="0061397F">
        <w:rPr>
          <w:rFonts w:cs="Times New Roman"/>
        </w:rPr>
        <w:t>ICS 5000</w:t>
      </w:r>
      <w:r w:rsidRPr="0061397F">
        <w:t>.</w:t>
      </w:r>
      <w:r>
        <w:t xml:space="preserve"> </w:t>
      </w:r>
    </w:p>
    <w:p w14:paraId="6304DA3A" w14:textId="5BCE3607" w:rsidR="002B7883" w:rsidRDefault="002B7883" w:rsidP="002B7883">
      <w:pPr>
        <w:jc w:val="both"/>
      </w:pPr>
      <w:r>
        <w:t xml:space="preserve">Due to the nature of the samples (high concentrations of Na and Cl in solution) which are at concentrations too high for analysis by IC and ICP-MS to effectively measure and allow good recoveries of the </w:t>
      </w:r>
      <w:r w:rsidR="00223A57">
        <w:t xml:space="preserve">major </w:t>
      </w:r>
      <w:r>
        <w:t xml:space="preserve">ions in question, samples were subsequently diluted via a gravimetric method using ultra-pure 18 MΩ “Milli Q” water (Millipore) as the diluent. </w:t>
      </w:r>
    </w:p>
    <w:p w14:paraId="4C34DE41" w14:textId="0C9521CF" w:rsidR="002B7883" w:rsidRDefault="002B7883" w:rsidP="002B7883">
      <w:pPr>
        <w:jc w:val="both"/>
      </w:pPr>
      <w:r>
        <w:t xml:space="preserve">A nominal dilution factor of 5000 was set for all samples, however after measuring the weight of the pipetted sample and the total weight including the diluent calculations indicated </w:t>
      </w:r>
      <w:r w:rsidR="00223A57">
        <w:t xml:space="preserve">that </w:t>
      </w:r>
      <w:r>
        <w:t xml:space="preserve">the total dilution factor was approximately 4200 (mean value of all 19 samples ± 72.1). </w:t>
      </w:r>
    </w:p>
    <w:p w14:paraId="233F3A3C" w14:textId="336E13F6" w:rsidR="002B7883" w:rsidRDefault="002B7883" w:rsidP="002B7883">
      <w:pPr>
        <w:jc w:val="both"/>
      </w:pPr>
      <w:r>
        <w:t>It is to be noted that although the possible effect of the high</w:t>
      </w:r>
      <w:r w:rsidRPr="00D829E7">
        <w:t xml:space="preserve"> </w:t>
      </w:r>
      <w:r>
        <w:t>density of the samples (i.e. Na</w:t>
      </w:r>
      <w:r w:rsidR="00223A57" w:rsidRPr="007D536B">
        <w:rPr>
          <w:vertAlign w:val="superscript"/>
        </w:rPr>
        <w:t>+</w:t>
      </w:r>
      <w:r>
        <w:t xml:space="preserve"> and Cl</w:t>
      </w:r>
      <w:r w:rsidRPr="00A02548">
        <w:rPr>
          <w:vertAlign w:val="superscript"/>
        </w:rPr>
        <w:t>-</w:t>
      </w:r>
      <w:r>
        <w:t xml:space="preserve">) may have been a factor resulting in the lower total dilution values (i.e. 4200), it may be more likely that the viscosity of the waters would be the most likely contributing factor when pipetting out the volumes. </w:t>
      </w:r>
    </w:p>
    <w:p w14:paraId="4BA9C260" w14:textId="6FE75392" w:rsidR="002B7883" w:rsidRDefault="002B7883" w:rsidP="002B7883">
      <w:pPr>
        <w:jc w:val="both"/>
      </w:pPr>
      <w:r>
        <w:t>Furthermore, due to high concentrations of C</w:t>
      </w:r>
      <w:r w:rsidRPr="0037190D">
        <w:t>l</w:t>
      </w:r>
      <w:r w:rsidRPr="00A02548">
        <w:rPr>
          <w:vertAlign w:val="superscript"/>
        </w:rPr>
        <w:t>-</w:t>
      </w:r>
      <w:r>
        <w:t xml:space="preserve"> in the samples and the resulting high dilution factor, those anions which would usually be analysed by IC e.g. </w:t>
      </w:r>
      <w:r>
        <w:rPr>
          <w:color w:val="000000"/>
          <w:szCs w:val="24"/>
          <w:lang w:eastAsia="en-GB"/>
        </w:rPr>
        <w:t>F</w:t>
      </w:r>
      <w:r w:rsidRPr="00454894">
        <w:rPr>
          <w:color w:val="000000"/>
          <w:szCs w:val="24"/>
          <w:vertAlign w:val="superscript"/>
          <w:lang w:eastAsia="en-GB"/>
        </w:rPr>
        <w:t>-</w:t>
      </w:r>
      <w:r>
        <w:rPr>
          <w:color w:val="000000"/>
          <w:szCs w:val="24"/>
          <w:lang w:eastAsia="en-GB"/>
        </w:rPr>
        <w:t>, NO</w:t>
      </w:r>
      <w:r w:rsidRPr="00454894">
        <w:rPr>
          <w:color w:val="000000"/>
          <w:szCs w:val="24"/>
          <w:vertAlign w:val="subscript"/>
          <w:lang w:eastAsia="en-GB"/>
        </w:rPr>
        <w:t>2</w:t>
      </w:r>
      <w:r w:rsidRPr="00454894">
        <w:rPr>
          <w:color w:val="000000"/>
          <w:szCs w:val="24"/>
          <w:vertAlign w:val="superscript"/>
          <w:lang w:eastAsia="en-GB"/>
        </w:rPr>
        <w:t>-</w:t>
      </w:r>
      <w:r>
        <w:rPr>
          <w:color w:val="000000"/>
          <w:szCs w:val="24"/>
          <w:lang w:eastAsia="en-GB"/>
        </w:rPr>
        <w:t xml:space="preserve">, </w:t>
      </w:r>
      <w:r w:rsidR="00223A57">
        <w:rPr>
          <w:color w:val="000000"/>
          <w:szCs w:val="24"/>
          <w:lang w:eastAsia="en-GB"/>
        </w:rPr>
        <w:t>NO</w:t>
      </w:r>
      <w:r w:rsidR="00223A57">
        <w:rPr>
          <w:color w:val="000000"/>
          <w:szCs w:val="24"/>
          <w:vertAlign w:val="subscript"/>
          <w:lang w:eastAsia="en-GB"/>
        </w:rPr>
        <w:t>3</w:t>
      </w:r>
      <w:r w:rsidR="00223A57" w:rsidRPr="00454894">
        <w:rPr>
          <w:color w:val="000000"/>
          <w:szCs w:val="24"/>
          <w:vertAlign w:val="superscript"/>
          <w:lang w:eastAsia="en-GB"/>
        </w:rPr>
        <w:t>-</w:t>
      </w:r>
      <w:r w:rsidR="00223A57">
        <w:rPr>
          <w:color w:val="000000"/>
          <w:szCs w:val="24"/>
          <w:lang w:eastAsia="en-GB"/>
        </w:rPr>
        <w:t xml:space="preserve">, </w:t>
      </w:r>
      <w:r>
        <w:rPr>
          <w:color w:val="000000"/>
          <w:szCs w:val="24"/>
          <w:lang w:eastAsia="en-GB"/>
        </w:rPr>
        <w:t>Br</w:t>
      </w:r>
      <w:r w:rsidRPr="00454894">
        <w:rPr>
          <w:color w:val="000000"/>
          <w:szCs w:val="24"/>
          <w:vertAlign w:val="superscript"/>
          <w:lang w:eastAsia="en-GB"/>
        </w:rPr>
        <w:t>-</w:t>
      </w:r>
      <w:r>
        <w:rPr>
          <w:color w:val="000000"/>
          <w:szCs w:val="24"/>
          <w:lang w:eastAsia="en-GB"/>
        </w:rPr>
        <w:t>, SO</w:t>
      </w:r>
      <w:r w:rsidRPr="00454894">
        <w:rPr>
          <w:color w:val="000000"/>
          <w:szCs w:val="24"/>
          <w:vertAlign w:val="subscript"/>
          <w:lang w:eastAsia="en-GB"/>
        </w:rPr>
        <w:t>4</w:t>
      </w:r>
      <w:r w:rsidRPr="00454894">
        <w:rPr>
          <w:color w:val="000000"/>
          <w:szCs w:val="24"/>
          <w:vertAlign w:val="superscript"/>
          <w:lang w:eastAsia="en-GB"/>
        </w:rPr>
        <w:t>2-</w:t>
      </w:r>
      <w:r>
        <w:rPr>
          <w:color w:val="000000"/>
          <w:szCs w:val="24"/>
          <w:lang w:eastAsia="en-GB"/>
        </w:rPr>
        <w:t xml:space="preserve"> and HPO</w:t>
      </w:r>
      <w:r w:rsidRPr="00454894">
        <w:rPr>
          <w:color w:val="000000"/>
          <w:szCs w:val="24"/>
          <w:vertAlign w:val="subscript"/>
          <w:lang w:eastAsia="en-GB"/>
        </w:rPr>
        <w:t>4</w:t>
      </w:r>
      <w:r w:rsidRPr="00454894">
        <w:rPr>
          <w:color w:val="000000"/>
          <w:szCs w:val="24"/>
          <w:vertAlign w:val="superscript"/>
          <w:lang w:eastAsia="en-GB"/>
        </w:rPr>
        <w:t>2-</w:t>
      </w:r>
      <w:r>
        <w:rPr>
          <w:color w:val="000000"/>
          <w:szCs w:val="24"/>
          <w:lang w:eastAsia="en-GB"/>
        </w:rPr>
        <w:t xml:space="preserve"> would </w:t>
      </w:r>
      <w:r>
        <w:t xml:space="preserve">be at concentrations too low to be measured. </w:t>
      </w:r>
    </w:p>
    <w:p w14:paraId="77369625" w14:textId="423DED2D" w:rsidR="002B7883" w:rsidRPr="001B74A6" w:rsidRDefault="002B7883" w:rsidP="001B74A6">
      <w:pPr>
        <w:pStyle w:val="Heading3"/>
        <w:rPr>
          <w:rFonts w:asciiTheme="minorHAnsi" w:hAnsiTheme="minorHAnsi"/>
          <w:i/>
          <w:sz w:val="22"/>
          <w:szCs w:val="22"/>
        </w:rPr>
      </w:pPr>
      <w:r w:rsidRPr="001B74A6">
        <w:rPr>
          <w:rFonts w:asciiTheme="minorHAnsi" w:hAnsiTheme="minorHAnsi"/>
          <w:i/>
          <w:sz w:val="22"/>
          <w:szCs w:val="22"/>
        </w:rPr>
        <w:t>Ion Chromatography</w:t>
      </w:r>
    </w:p>
    <w:p w14:paraId="7FB3CC6A" w14:textId="5AA96EA0" w:rsidR="002B7883" w:rsidRPr="002B7883" w:rsidRDefault="002B7883" w:rsidP="002B7883">
      <w:pPr>
        <w:jc w:val="both"/>
      </w:pPr>
      <w:r w:rsidRPr="002B7883">
        <w:t>Anions concentrations in the fluids (including F-, Cl-, NO</w:t>
      </w:r>
      <w:r w:rsidRPr="007D536B">
        <w:rPr>
          <w:vertAlign w:val="subscript"/>
        </w:rPr>
        <w:t>2</w:t>
      </w:r>
      <w:r w:rsidRPr="002B7883">
        <w:t xml:space="preserve">-, </w:t>
      </w:r>
      <w:r w:rsidR="00223A57">
        <w:rPr>
          <w:color w:val="000000"/>
          <w:szCs w:val="24"/>
          <w:lang w:eastAsia="en-GB"/>
        </w:rPr>
        <w:t>NO</w:t>
      </w:r>
      <w:r w:rsidR="00223A57">
        <w:rPr>
          <w:color w:val="000000"/>
          <w:szCs w:val="24"/>
          <w:vertAlign w:val="subscript"/>
          <w:lang w:eastAsia="en-GB"/>
        </w:rPr>
        <w:t>3</w:t>
      </w:r>
      <w:r w:rsidR="00223A57" w:rsidRPr="00454894">
        <w:rPr>
          <w:color w:val="000000"/>
          <w:szCs w:val="24"/>
          <w:vertAlign w:val="superscript"/>
          <w:lang w:eastAsia="en-GB"/>
        </w:rPr>
        <w:t>-</w:t>
      </w:r>
      <w:r w:rsidR="00223A57">
        <w:rPr>
          <w:color w:val="000000"/>
          <w:szCs w:val="24"/>
          <w:lang w:eastAsia="en-GB"/>
        </w:rPr>
        <w:t xml:space="preserve">, </w:t>
      </w:r>
      <w:r w:rsidRPr="002B7883">
        <w:t xml:space="preserve">Br-, SO42- and HPO42-) were determined by ion chromatography using a </w:t>
      </w:r>
      <w:r w:rsidR="00D8407E">
        <w:t>Thermo-Fisher</w:t>
      </w:r>
      <w:r w:rsidRPr="002B7883">
        <w:t xml:space="preserve"> ICS5000 Ion Chromatograph system (S/N 10060887). Instrument operation and data acquisition was controlled by the </w:t>
      </w:r>
      <w:proofErr w:type="spellStart"/>
      <w:r w:rsidRPr="002B7883">
        <w:t>Chromeleon</w:t>
      </w:r>
      <w:proofErr w:type="spellEnd"/>
      <w:r w:rsidRPr="002B7883">
        <w:t xml:space="preserve"> (version 7) software package. Anion separation is performed using a </w:t>
      </w:r>
      <w:r w:rsidR="00D8407E">
        <w:t>Thermo-Fisher</w:t>
      </w:r>
      <w:r w:rsidRPr="002B7883">
        <w:t xml:space="preserve"> AG19 guard column and an AG19 analytical column using an injection volume of 10 </w:t>
      </w:r>
      <w:proofErr w:type="spellStart"/>
      <w:r w:rsidRPr="002B7883">
        <w:t>μl</w:t>
      </w:r>
      <w:proofErr w:type="spellEnd"/>
      <w:r w:rsidRPr="002B7883">
        <w:t>. Three QC standards are prepared from a proprietary mixed anion reference soluti</w:t>
      </w:r>
      <w:r w:rsidR="00A30705">
        <w:t xml:space="preserve">on traceable to </w:t>
      </w:r>
      <w:r w:rsidRPr="002B7883">
        <w:t>National Institute of Standards and Technology</w:t>
      </w:r>
      <w:r w:rsidR="00A30705">
        <w:t xml:space="preserve"> (NIST) standards (</w:t>
      </w:r>
      <w:proofErr w:type="spellStart"/>
      <w:r w:rsidRPr="002B7883">
        <w:t>SpexCertiprep</w:t>
      </w:r>
      <w:proofErr w:type="spellEnd"/>
      <w:r w:rsidRPr="002B7883">
        <w:t>®) in order to cover the anion calibration ranges. Two standards (10× and 25×) cover the upper and lower ranges of F</w:t>
      </w:r>
      <w:r w:rsidRPr="007D536B">
        <w:rPr>
          <w:vertAlign w:val="superscript"/>
        </w:rPr>
        <w:t>-</w:t>
      </w:r>
      <w:r w:rsidRPr="002B7883">
        <w:t>, Cl</w:t>
      </w:r>
      <w:r w:rsidRPr="007D536B">
        <w:rPr>
          <w:vertAlign w:val="superscript"/>
        </w:rPr>
        <w:t>-</w:t>
      </w:r>
      <w:r w:rsidRPr="002B7883">
        <w:t>, NO</w:t>
      </w:r>
      <w:r w:rsidRPr="007D536B">
        <w:rPr>
          <w:vertAlign w:val="subscript"/>
        </w:rPr>
        <w:t>3</w:t>
      </w:r>
      <w:r w:rsidRPr="007D536B">
        <w:rPr>
          <w:vertAlign w:val="superscript"/>
        </w:rPr>
        <w:t>-</w:t>
      </w:r>
      <w:r w:rsidRPr="002B7883">
        <w:t xml:space="preserve"> and SO</w:t>
      </w:r>
      <w:r w:rsidRPr="007D536B">
        <w:rPr>
          <w:vertAlign w:val="subscript"/>
        </w:rPr>
        <w:t>4</w:t>
      </w:r>
      <w:r w:rsidRPr="007D536B">
        <w:rPr>
          <w:vertAlign w:val="superscript"/>
        </w:rPr>
        <w:t>2-</w:t>
      </w:r>
      <w:r w:rsidRPr="002B7883">
        <w:t xml:space="preserve"> and one (100×) covers all anions. A calibration drift check standard, which gives the concentrations within the calibration ranges of each anion, was analysed at the end of each analytical run. The data obtained were accepted within ±10% of the target values. The overall error estimates for anion species were F</w:t>
      </w:r>
      <w:r w:rsidRPr="007D536B">
        <w:rPr>
          <w:vertAlign w:val="superscript"/>
        </w:rPr>
        <w:t>-</w:t>
      </w:r>
      <w:r w:rsidRPr="002B7883">
        <w:t xml:space="preserve"> 20%, Cl</w:t>
      </w:r>
      <w:r w:rsidRPr="007D536B">
        <w:rPr>
          <w:vertAlign w:val="superscript"/>
        </w:rPr>
        <w:t>-</w:t>
      </w:r>
      <w:r w:rsidRPr="002B7883">
        <w:t xml:space="preserve"> 10%; NO</w:t>
      </w:r>
      <w:r w:rsidRPr="007D536B">
        <w:rPr>
          <w:vertAlign w:val="subscript"/>
        </w:rPr>
        <w:t>2</w:t>
      </w:r>
      <w:r w:rsidRPr="007D536B">
        <w:rPr>
          <w:vertAlign w:val="superscript"/>
        </w:rPr>
        <w:t>-</w:t>
      </w:r>
      <w:r w:rsidRPr="002B7883">
        <w:t xml:space="preserve"> 20%; Br</w:t>
      </w:r>
      <w:r w:rsidRPr="007D536B">
        <w:rPr>
          <w:vertAlign w:val="superscript"/>
        </w:rPr>
        <w:t xml:space="preserve">- </w:t>
      </w:r>
      <w:r w:rsidRPr="002B7883">
        <w:t>20%; NO</w:t>
      </w:r>
      <w:r w:rsidRPr="007D536B">
        <w:rPr>
          <w:vertAlign w:val="subscript"/>
        </w:rPr>
        <w:t>3</w:t>
      </w:r>
      <w:r w:rsidRPr="007D536B">
        <w:rPr>
          <w:vertAlign w:val="superscript"/>
        </w:rPr>
        <w:t>-</w:t>
      </w:r>
      <w:r w:rsidRPr="002B7883">
        <w:t xml:space="preserve"> 10%, SO</w:t>
      </w:r>
      <w:r w:rsidRPr="007D536B">
        <w:rPr>
          <w:vertAlign w:val="subscript"/>
        </w:rPr>
        <w:t>4</w:t>
      </w:r>
      <w:r w:rsidRPr="007D536B">
        <w:rPr>
          <w:vertAlign w:val="superscript"/>
        </w:rPr>
        <w:t>2-</w:t>
      </w:r>
      <w:r w:rsidRPr="002B7883">
        <w:t xml:space="preserve"> 10% and HPO</w:t>
      </w:r>
      <w:r w:rsidRPr="007D536B">
        <w:rPr>
          <w:vertAlign w:val="subscript"/>
        </w:rPr>
        <w:t>4</w:t>
      </w:r>
      <w:r w:rsidRPr="007D536B">
        <w:rPr>
          <w:vertAlign w:val="superscript"/>
        </w:rPr>
        <w:t>2-</w:t>
      </w:r>
      <w:r w:rsidRPr="002B7883">
        <w:t xml:space="preserve"> 20%.</w:t>
      </w:r>
    </w:p>
    <w:p w14:paraId="2FB601EF" w14:textId="0F4CEFAC" w:rsidR="002B7883" w:rsidRPr="001B74A6" w:rsidRDefault="002B7883" w:rsidP="001B74A6">
      <w:pPr>
        <w:pStyle w:val="Heading3"/>
        <w:rPr>
          <w:rFonts w:asciiTheme="minorHAnsi" w:hAnsiTheme="minorHAnsi"/>
          <w:i/>
          <w:sz w:val="22"/>
          <w:szCs w:val="22"/>
        </w:rPr>
      </w:pPr>
      <w:r w:rsidRPr="001B74A6">
        <w:rPr>
          <w:rFonts w:asciiTheme="minorHAnsi" w:hAnsiTheme="minorHAnsi"/>
          <w:i/>
          <w:sz w:val="22"/>
          <w:szCs w:val="22"/>
        </w:rPr>
        <w:t>Inductively-Coupled Plasma – Mass Spectrometry (ICP-MS)</w:t>
      </w:r>
    </w:p>
    <w:p w14:paraId="7474F860" w14:textId="57B084FA" w:rsidR="002B7883" w:rsidRPr="002B7883" w:rsidRDefault="00A30705" w:rsidP="002B7883">
      <w:pPr>
        <w:jc w:val="both"/>
      </w:pPr>
      <w:r>
        <w:t>Fifty-</w:t>
      </w:r>
      <w:r w:rsidR="002B7883" w:rsidRPr="002B7883">
        <w:t xml:space="preserve">seven major and trace elements from the extracted fluids were analysed by inductively-coupled plasma - mass spectrometry (ICP-MS). Analysis were performed using an Agilent 7500cx series (serial number JP51202387) quadrupole ICP-MS instrument fitted with a CETAC autosampler. The instrument was operated using the bespoke Agilent 7500 ICP-MS </w:t>
      </w:r>
      <w:proofErr w:type="spellStart"/>
      <w:r w:rsidR="002B7883" w:rsidRPr="002B7883">
        <w:t>Chemstation</w:t>
      </w:r>
      <w:proofErr w:type="spellEnd"/>
      <w:r w:rsidR="002B7883" w:rsidRPr="002B7883">
        <w:t xml:space="preserve"> B.03.06 software package.</w:t>
      </w:r>
    </w:p>
    <w:p w14:paraId="466970D0" w14:textId="77777777" w:rsidR="002B7883" w:rsidRPr="002B7883" w:rsidRDefault="002B7883" w:rsidP="002B7883">
      <w:pPr>
        <w:jc w:val="both"/>
      </w:pPr>
      <w:r w:rsidRPr="002B7883">
        <w:t xml:space="preserve">The instrument was calibrated at the beginning and end of every analytical run using at least three standards and a blank for each trace element, and three standards and a blank for major elements. </w:t>
      </w:r>
      <w:r w:rsidRPr="002B7883">
        <w:lastRenderedPageBreak/>
        <w:t xml:space="preserve">These are prepared from a proprietary mixed solution traceable to NIST standards. Multi-element QC check standards were analysed at the start and end of each run, and after a maximum of 30 samples. </w:t>
      </w:r>
    </w:p>
    <w:p w14:paraId="10ADD23B" w14:textId="392AA97C" w:rsidR="002B7883" w:rsidRPr="00591CBF" w:rsidRDefault="002B7883" w:rsidP="00A43E1D">
      <w:pPr>
        <w:jc w:val="both"/>
      </w:pPr>
      <w:r w:rsidRPr="002B7883">
        <w:t>A Certified Reference Material (CRM: CNRC SLRS-5 trace elements in natural water) was run between each batch of QC standards. Detection limits have been calculated as three times the standard deviation of the 1% nitric plus 0.5% hydrochloric acid blanks inserted at regular intervals during the analysis. The uncertainty associated with the ICP-MS measurements above the detection limit is generally considered to be of the order of ±10%.  However, for, Na, Ca, Si, P, S, K, Fe, Zn, Sr and Ba, the overall uncertainty is of the order of ±15%. For Li, B and Al the overall uncertainty is of the order of ±20%.</w:t>
      </w:r>
    </w:p>
    <w:p w14:paraId="47A05671" w14:textId="77777777" w:rsidR="00961942" w:rsidRPr="001B74A6" w:rsidRDefault="00961942" w:rsidP="001B74A6">
      <w:pPr>
        <w:pStyle w:val="Heading3"/>
        <w:rPr>
          <w:rFonts w:asciiTheme="minorHAnsi" w:hAnsiTheme="minorHAnsi"/>
          <w:i/>
          <w:sz w:val="22"/>
          <w:szCs w:val="22"/>
        </w:rPr>
      </w:pPr>
      <w:r w:rsidRPr="001B74A6">
        <w:rPr>
          <w:rFonts w:asciiTheme="minorHAnsi" w:hAnsiTheme="minorHAnsi"/>
          <w:i/>
          <w:sz w:val="22"/>
          <w:szCs w:val="22"/>
        </w:rPr>
        <w:t>2D X-ray radiography</w:t>
      </w:r>
    </w:p>
    <w:p w14:paraId="6D20F7D4" w14:textId="62A67010" w:rsidR="00961942" w:rsidRDefault="009B4F51" w:rsidP="00A43E1D">
      <w:pPr>
        <w:jc w:val="both"/>
      </w:pPr>
      <w:r>
        <w:t xml:space="preserve">Post-experiment, </w:t>
      </w:r>
      <w:r w:rsidR="001E6DED">
        <w:t xml:space="preserve">all </w:t>
      </w:r>
      <w:r>
        <w:t xml:space="preserve">cores </w:t>
      </w:r>
      <w:r w:rsidR="001E6DED">
        <w:t xml:space="preserve">except MPLT622A (the first experiment) </w:t>
      </w:r>
      <w:r>
        <w:t xml:space="preserve">were analysed </w:t>
      </w:r>
      <w:r w:rsidR="001E6DED">
        <w:t xml:space="preserve">non-destructively </w:t>
      </w:r>
      <w:r>
        <w:t xml:space="preserve">using 2D X-ray radiography </w:t>
      </w:r>
      <w:r w:rsidR="00CC50F1" w:rsidRPr="00014936">
        <w:t xml:space="preserve">on </w:t>
      </w:r>
      <w:r w:rsidR="00014936" w:rsidRPr="00014936">
        <w:t>a GE Ins</w:t>
      </w:r>
      <w:r w:rsidR="00014936">
        <w:t>pection ISOVOLT</w:t>
      </w:r>
      <w:r w:rsidR="00014936" w:rsidRPr="00014936">
        <w:t xml:space="preserve"> Titan</w:t>
      </w:r>
      <w:r w:rsidR="00014936">
        <w:t xml:space="preserve"> E X-ray generator</w:t>
      </w:r>
      <w:r w:rsidR="00CC50F1">
        <w:t xml:space="preserve">. </w:t>
      </w:r>
      <w:r>
        <w:t xml:space="preserve">The settings used varied slightly due to differences between the core diameters </w:t>
      </w:r>
      <w:r w:rsidR="00CC50F1">
        <w:t xml:space="preserve">in the Northwich and Arm Hill cores, and the amount of insoluble material (affecting the density) of the sample: X-rays were taken at a distance of 1200 mm, </w:t>
      </w:r>
      <w:r w:rsidR="000144F6">
        <w:t>60 second</w:t>
      </w:r>
      <w:r w:rsidR="00CC50F1">
        <w:t xml:space="preserve"> exposure, 10-15 mA and 90-180 kV. Two side views of the cores were imaged at 90</w:t>
      </w:r>
      <w:r w:rsidR="00CC50F1" w:rsidRPr="009B4F51">
        <w:rPr>
          <w:vertAlign w:val="superscript"/>
        </w:rPr>
        <w:t>o</w:t>
      </w:r>
      <w:r w:rsidR="00CC50F1">
        <w:t xml:space="preserve"> to each other. This technique allows a rapid assessment of the extent and general morphology of the cavity.</w:t>
      </w:r>
    </w:p>
    <w:p w14:paraId="24D0647F" w14:textId="5FE2BDE7" w:rsidR="00D668AB" w:rsidRPr="001B74A6" w:rsidRDefault="00961942" w:rsidP="001B74A6">
      <w:pPr>
        <w:pStyle w:val="Heading3"/>
        <w:rPr>
          <w:rFonts w:asciiTheme="minorHAnsi" w:hAnsiTheme="minorHAnsi"/>
          <w:i/>
          <w:sz w:val="22"/>
          <w:szCs w:val="22"/>
        </w:rPr>
      </w:pPr>
      <w:r w:rsidRPr="001B74A6">
        <w:rPr>
          <w:rFonts w:asciiTheme="minorHAnsi" w:hAnsiTheme="minorHAnsi"/>
          <w:i/>
          <w:sz w:val="22"/>
          <w:szCs w:val="22"/>
        </w:rPr>
        <w:t xml:space="preserve">3D </w:t>
      </w:r>
      <w:r w:rsidR="00D668AB" w:rsidRPr="001B74A6">
        <w:rPr>
          <w:rFonts w:asciiTheme="minorHAnsi" w:hAnsiTheme="minorHAnsi"/>
          <w:i/>
          <w:sz w:val="22"/>
          <w:szCs w:val="22"/>
        </w:rPr>
        <w:t>X-ray computed tomography</w:t>
      </w:r>
    </w:p>
    <w:p w14:paraId="056B9743" w14:textId="09EABD76" w:rsidR="001E26FE" w:rsidRPr="001E26FE" w:rsidRDefault="001E26FE" w:rsidP="001E26FE">
      <w:pPr>
        <w:jc w:val="both"/>
      </w:pPr>
      <w:r w:rsidRPr="00591CBF">
        <w:t xml:space="preserve">3D X-ray computed tomography imaging (X-ray CT) was carried out on </w:t>
      </w:r>
      <w:r w:rsidR="005864B4">
        <w:t xml:space="preserve">the </w:t>
      </w:r>
      <w:r w:rsidRPr="00591CBF">
        <w:t xml:space="preserve">five different rock types, </w:t>
      </w:r>
      <w:r w:rsidR="005864B4" w:rsidRPr="005864B4">
        <w:t>both pre and post experiment</w:t>
      </w:r>
      <w:r w:rsidRPr="00591CBF">
        <w:t xml:space="preserve">. The rock core samples were prepared for X-ray CT by wrapping in parafilm and mounting to the sample stage. The core was scanned using an XRADIA Versa XRM500 (Carl Zeiss, </w:t>
      </w:r>
      <w:proofErr w:type="spellStart"/>
      <w:r w:rsidRPr="00591CBF">
        <w:t>Oberkochen</w:t>
      </w:r>
      <w:proofErr w:type="spellEnd"/>
      <w:r w:rsidRPr="00591CBF">
        <w:t>, Germany) using a source setting of 160 kV and 63 µA, and imaged at an optical magnification of 0.399 (large field of view; LFOV) to achieve a spatial resolution 50 µm. Sample orientation during scanning was defined with reference to the direction of the incident X-rays as follows: ZX parallel and normal (-</w:t>
      </w:r>
      <w:r w:rsidRPr="00591CBF">
        <w:rPr>
          <w:i/>
        </w:rPr>
        <w:t>y</w:t>
      </w:r>
      <w:r w:rsidRPr="00591CBF">
        <w:t xml:space="preserve"> plane), ZY parallel and horizontally perpendicular (-</w:t>
      </w:r>
      <w:r w:rsidRPr="00591CBF">
        <w:rPr>
          <w:i/>
        </w:rPr>
        <w:t>x</w:t>
      </w:r>
      <w:r w:rsidRPr="00591CBF">
        <w:t xml:space="preserve"> plane), XY vertically and horizontally perpendicular (-</w:t>
      </w:r>
      <w:r w:rsidRPr="00591CBF">
        <w:rPr>
          <w:i/>
        </w:rPr>
        <w:t>z</w:t>
      </w:r>
      <w:r w:rsidRPr="00591CBF">
        <w:t xml:space="preserve"> plane). No corrections were required for beam hardening or sample displacement artefacts. Reconstructed projection images were post-processed using </w:t>
      </w:r>
      <w:proofErr w:type="spellStart"/>
      <w:r w:rsidRPr="00591CBF">
        <w:t>Avizo</w:t>
      </w:r>
      <w:proofErr w:type="spellEnd"/>
      <w:r w:rsidRPr="00591CBF">
        <w:t xml:space="preserve"> Fire v8.1 (FEI, Hillsboro, Oregon, USA). Image stacks were calibrated for length scale, before running 3 iterations of a standard median filter, following by a 5px majority filter (for de</w:t>
      </w:r>
      <w:r w:rsidR="005864B4">
        <w:t>-</w:t>
      </w:r>
      <w:r w:rsidRPr="00591CBF">
        <w:t>noising). The cavity and any entrapped air voids were then segmented using the interactive threshold module to produce a binary image stack, followed by conversion to a label field to enable measurement of pore size distributions for the entrapped air voids. This was combined with qualitative visual comparisons by overlaying the pre-treatment image stac</w:t>
      </w:r>
      <w:r w:rsidR="005864B4" w:rsidRPr="005864B4">
        <w:t>ks with the post-treatment ones</w:t>
      </w:r>
      <w:r w:rsidRPr="00591CBF">
        <w:t>. In order to eliminate edge effects (incurred during X-ray scanning) from the outer wall of the core it was necessary to crop the scans of the post-experimental cavities, in some cases slightly cropping the cavities themselves where they had extended to the outer edge of the core.</w:t>
      </w:r>
      <w:r w:rsidRPr="001E26FE">
        <w:t xml:space="preserve"> </w:t>
      </w:r>
    </w:p>
    <w:p w14:paraId="0C38652C" w14:textId="5855B236" w:rsidR="00242A8A" w:rsidRPr="001B74A6" w:rsidRDefault="00242A8A" w:rsidP="001B74A6">
      <w:pPr>
        <w:pStyle w:val="Heading3"/>
        <w:rPr>
          <w:rFonts w:asciiTheme="minorHAnsi" w:hAnsiTheme="minorHAnsi"/>
          <w:i/>
          <w:sz w:val="22"/>
          <w:szCs w:val="22"/>
        </w:rPr>
      </w:pPr>
      <w:r w:rsidRPr="001B74A6">
        <w:rPr>
          <w:rFonts w:asciiTheme="minorHAnsi" w:hAnsiTheme="minorHAnsi"/>
          <w:i/>
          <w:sz w:val="22"/>
          <w:szCs w:val="22"/>
        </w:rPr>
        <w:t>Photo-s</w:t>
      </w:r>
      <w:r w:rsidR="007506FB" w:rsidRPr="001B74A6">
        <w:rPr>
          <w:rFonts w:asciiTheme="minorHAnsi" w:hAnsiTheme="minorHAnsi"/>
          <w:i/>
          <w:sz w:val="22"/>
          <w:szCs w:val="22"/>
        </w:rPr>
        <w:t>t</w:t>
      </w:r>
      <w:r w:rsidRPr="001B74A6">
        <w:rPr>
          <w:rFonts w:asciiTheme="minorHAnsi" w:hAnsiTheme="minorHAnsi"/>
          <w:i/>
          <w:sz w:val="22"/>
          <w:szCs w:val="22"/>
        </w:rPr>
        <w:t xml:space="preserve">imulated </w:t>
      </w:r>
      <w:r w:rsidR="00BB648F" w:rsidRPr="001B74A6">
        <w:rPr>
          <w:rFonts w:asciiTheme="minorHAnsi" w:hAnsiTheme="minorHAnsi"/>
          <w:i/>
          <w:sz w:val="22"/>
          <w:szCs w:val="22"/>
        </w:rPr>
        <w:t>fluorescence</w:t>
      </w:r>
      <w:r w:rsidRPr="001B74A6">
        <w:rPr>
          <w:rFonts w:asciiTheme="minorHAnsi" w:hAnsiTheme="minorHAnsi"/>
          <w:i/>
          <w:sz w:val="22"/>
          <w:szCs w:val="22"/>
        </w:rPr>
        <w:t xml:space="preserve"> scanning</w:t>
      </w:r>
    </w:p>
    <w:p w14:paraId="6A8DFB8F" w14:textId="41C08F9D" w:rsidR="00242A8A" w:rsidRPr="00961942" w:rsidRDefault="00BB648F" w:rsidP="009C0D50">
      <w:pPr>
        <w:jc w:val="both"/>
      </w:pPr>
      <w:r>
        <w:t>Laser-stimulated scanning fluorescence imaging (LSSFI) was performed on the flat surfaces of the core-halves using an Amersham Biosciences STORM</w:t>
      </w:r>
      <w:r w:rsidRPr="00C4565F">
        <w:rPr>
          <w:vertAlign w:val="superscript"/>
        </w:rPr>
        <w:t>TM</w:t>
      </w:r>
      <w:r>
        <w:t xml:space="preserve"> 860 variable mode laser scanning system to determine the location of any fluorescein</w:t>
      </w:r>
      <w:r w:rsidR="0055416C">
        <w:t xml:space="preserve"> tracer, and therefore the extent of fluid penetration</w:t>
      </w:r>
      <w:r>
        <w:t xml:space="preserve">. This LSSFI scanning system was equipped with both red (635 nm) and blue (450 nm) laser diodes for red- and blue-excited fluorescence, with long-pass filters (optical filters that transmit light of wavelengths </w:t>
      </w:r>
      <w:r>
        <w:lastRenderedPageBreak/>
        <w:t xml:space="preserve">longer than a specified cut-off. The filter rejects light with wavelengths shorter than the cut-off), to allow recording of fluorescence emissions with wavelengths &gt;650 nm and &gt;520 nm, respectively. Images were scanned and recorded at a spatial resolution of 100 µm per pixel. Fluorescein has a peak fluorescence excitation absorbance band at 494 nm with peak fluorescence emission at 521 nm. The fluorescence from fluorescein can therefore be excited by the blue-diodes but there is no excitation by the red diodes. </w:t>
      </w:r>
    </w:p>
    <w:p w14:paraId="63F88E17" w14:textId="77777777" w:rsidR="002B06D3" w:rsidRPr="001B74A6" w:rsidRDefault="00CC50F1" w:rsidP="001B74A6">
      <w:pPr>
        <w:pStyle w:val="Heading3"/>
        <w:rPr>
          <w:rFonts w:asciiTheme="minorHAnsi" w:hAnsiTheme="minorHAnsi"/>
          <w:i/>
          <w:sz w:val="22"/>
          <w:szCs w:val="22"/>
        </w:rPr>
      </w:pPr>
      <w:r w:rsidRPr="001B74A6">
        <w:rPr>
          <w:rFonts w:asciiTheme="minorHAnsi" w:hAnsiTheme="minorHAnsi"/>
          <w:i/>
          <w:sz w:val="22"/>
          <w:szCs w:val="22"/>
        </w:rPr>
        <w:t>Optical imaging</w:t>
      </w:r>
    </w:p>
    <w:p w14:paraId="516FECD5" w14:textId="77777777" w:rsidR="00CC50F1" w:rsidRPr="00591CBF" w:rsidRDefault="00C87593" w:rsidP="00A43E1D">
      <w:pPr>
        <w:jc w:val="both"/>
      </w:pPr>
      <w:r>
        <w:t>Offcuts of salt from the five end member fabrics were imaged, both in hand sample and polished thin section pre-experiment</w:t>
      </w:r>
      <w:r w:rsidR="00722BE4">
        <w:t>, using a</w:t>
      </w:r>
      <w:r>
        <w:t xml:space="preserve">n </w:t>
      </w:r>
      <w:r w:rsidRPr="004A0842">
        <w:t>Olympus SZX-10 stereo</w:t>
      </w:r>
      <w:r w:rsidR="00BF6EDE">
        <w:t>-</w:t>
      </w:r>
      <w:r w:rsidRPr="004A0842">
        <w:t>photomicroscope equipped with a high-resolution Peltier-cooled digital camera</w:t>
      </w:r>
      <w:r w:rsidR="00722BE4">
        <w:t>. K</w:t>
      </w:r>
      <w:r>
        <w:t>ey characteristics within each fabric</w:t>
      </w:r>
      <w:r w:rsidR="00722BE4">
        <w:t xml:space="preserve"> were identified</w:t>
      </w:r>
      <w:r w:rsidRPr="004A0842">
        <w:t>.</w:t>
      </w:r>
      <w:r>
        <w:t xml:space="preserve"> </w:t>
      </w:r>
      <w:r w:rsidR="004A0842">
        <w:t>Following X-ray analysis, the post experimental cores were sliced longitudinally and the exposed di</w:t>
      </w:r>
      <w:r>
        <w:t xml:space="preserve">ssolution cavities were </w:t>
      </w:r>
      <w:r w:rsidR="00C04E70">
        <w:t xml:space="preserve">again </w:t>
      </w:r>
      <w:r>
        <w:t xml:space="preserve">analysed and imaged. </w:t>
      </w:r>
      <w:r w:rsidR="00C04E70">
        <w:t xml:space="preserve">These half cores were also </w:t>
      </w:r>
      <w:r w:rsidR="00002901">
        <w:t xml:space="preserve">laser-scanned </w:t>
      </w:r>
      <w:r w:rsidR="00002901" w:rsidRPr="00002901">
        <w:t xml:space="preserve">using a </w:t>
      </w:r>
      <w:proofErr w:type="spellStart"/>
      <w:r w:rsidR="00002901" w:rsidRPr="00002901">
        <w:t>NextEngine</w:t>
      </w:r>
      <w:proofErr w:type="spellEnd"/>
      <w:r w:rsidR="00002901" w:rsidRPr="00002901">
        <w:t xml:space="preserve"> 2020i laser scanner at a resolution of 17,000 points per inch squared. The resulting point clouds were merged within the included </w:t>
      </w:r>
      <w:proofErr w:type="spellStart"/>
      <w:r w:rsidR="00002901" w:rsidRPr="00002901">
        <w:t>ScanStudio</w:t>
      </w:r>
      <w:proofErr w:type="spellEnd"/>
      <w:r w:rsidR="00002901" w:rsidRPr="00002901">
        <w:t xml:space="preserve"> HD Pro software to produce an OBJ model with attached texture. </w:t>
      </w:r>
      <w:r w:rsidR="009C0D50">
        <w:t xml:space="preserve">From one half of the core, large format (50 x 76 mm), epoxy-resin (dyed blue to highlight porosity) impregnated petrographic polished thin sections were prepared. These were analysed and imaged on a Zeiss </w:t>
      </w:r>
      <w:proofErr w:type="spellStart"/>
      <w:r w:rsidR="009C0D50">
        <w:t>Axioplan</w:t>
      </w:r>
      <w:proofErr w:type="spellEnd"/>
      <w:r w:rsidR="009C0D50">
        <w:t xml:space="preserve"> 2 polarising</w:t>
      </w:r>
      <w:r w:rsidR="009C0D50" w:rsidRPr="005B2F63">
        <w:t xml:space="preserve"> microscope with Zeiss </w:t>
      </w:r>
      <w:proofErr w:type="spellStart"/>
      <w:r w:rsidR="009C0D50" w:rsidRPr="005B2F63">
        <w:t>Axiocam</w:t>
      </w:r>
      <w:proofErr w:type="spellEnd"/>
      <w:r w:rsidR="009C0D50" w:rsidRPr="005B2F63">
        <w:t xml:space="preserve"> MRc5 digital </w:t>
      </w:r>
      <w:r w:rsidR="009C0D50" w:rsidRPr="00591CBF">
        <w:t>camera.</w:t>
      </w:r>
    </w:p>
    <w:p w14:paraId="4DDD9779" w14:textId="77777777" w:rsidR="004A0842" w:rsidRPr="001B74A6" w:rsidRDefault="004A0842" w:rsidP="001B74A6">
      <w:pPr>
        <w:pStyle w:val="Heading3"/>
        <w:rPr>
          <w:rFonts w:asciiTheme="minorHAnsi" w:hAnsiTheme="minorHAnsi"/>
          <w:i/>
          <w:sz w:val="22"/>
          <w:szCs w:val="22"/>
        </w:rPr>
      </w:pPr>
      <w:r w:rsidRPr="001B74A6">
        <w:rPr>
          <w:rFonts w:asciiTheme="minorHAnsi" w:hAnsiTheme="minorHAnsi"/>
          <w:i/>
          <w:sz w:val="22"/>
          <w:szCs w:val="22"/>
        </w:rPr>
        <w:t>Scanning electron microscopy</w:t>
      </w:r>
    </w:p>
    <w:p w14:paraId="4908CC9B" w14:textId="662439DC" w:rsidR="004A0842" w:rsidRPr="0048559A" w:rsidRDefault="004A0842" w:rsidP="00A43E1D">
      <w:pPr>
        <w:jc w:val="both"/>
      </w:pPr>
      <w:r w:rsidRPr="0046781D">
        <w:t xml:space="preserve">Detailed </w:t>
      </w:r>
      <w:r w:rsidR="00825D49">
        <w:t xml:space="preserve">morphological </w:t>
      </w:r>
      <w:r w:rsidRPr="0046781D">
        <w:t xml:space="preserve">observations were made on the </w:t>
      </w:r>
      <w:r>
        <w:t>salt blocks</w:t>
      </w:r>
      <w:r w:rsidRPr="0046781D">
        <w:t xml:space="preserve"> using </w:t>
      </w:r>
      <w:r w:rsidR="00825D49">
        <w:t>secondary</w:t>
      </w:r>
      <w:r w:rsidRPr="0046781D">
        <w:t xml:space="preserve"> scanning electron microscopy (BSEM)</w:t>
      </w:r>
      <w:r w:rsidR="00825D49">
        <w:t xml:space="preserve"> in variable pressure mode</w:t>
      </w:r>
      <w:r w:rsidRPr="0046781D">
        <w:t xml:space="preserve">. </w:t>
      </w:r>
      <w:r w:rsidR="006F0AD7">
        <w:t xml:space="preserve">Analysis was </w:t>
      </w:r>
      <w:r w:rsidRPr="0046781D">
        <w:t>carried out using a FEI Company QUANTA 600 environmental scanning electron microscope (ESEM) equipped with an Oxford Instruments INCA Energy 450 energy-dispersive X-ray microanalysis (EDXA) system with a 50 mm</w:t>
      </w:r>
      <w:r w:rsidRPr="0046781D">
        <w:rPr>
          <w:vertAlign w:val="superscript"/>
        </w:rPr>
        <w:t>2</w:t>
      </w:r>
      <w:r w:rsidRPr="0046781D">
        <w:t xml:space="preserve"> Peltier-cooled (liquid nitrogen free) silicon drift detector (SSD) X-ray detector capable </w:t>
      </w:r>
      <w:r>
        <w:t>of operating</w:t>
      </w:r>
      <w:r w:rsidRPr="0046781D">
        <w:t xml:space="preserve"> at very high input X-ray count rates (up to ~10</w:t>
      </w:r>
      <w:r w:rsidRPr="0046781D">
        <w:rPr>
          <w:vertAlign w:val="superscript"/>
        </w:rPr>
        <w:t>6</w:t>
      </w:r>
      <w:r w:rsidRPr="0046781D">
        <w:t xml:space="preserve"> counts per second).</w:t>
      </w:r>
      <w:r>
        <w:t xml:space="preserve"> The ESEM w</w:t>
      </w:r>
      <w:r w:rsidR="00825D49">
        <w:t>as operated in variable pressure</w:t>
      </w:r>
      <w:r>
        <w:t xml:space="preserve"> mode, with an electron beam accelerating</w:t>
      </w:r>
      <w:r w:rsidR="00825D49">
        <w:t xml:space="preserve"> volta</w:t>
      </w:r>
      <w:r w:rsidR="00825D49" w:rsidRPr="0048559A">
        <w:t>ge of 15</w:t>
      </w:r>
      <w:r w:rsidRPr="0048559A">
        <w:t xml:space="preserve"> </w:t>
      </w:r>
      <w:r w:rsidR="00A43E1D" w:rsidRPr="0048559A">
        <w:t xml:space="preserve">-20 </w:t>
      </w:r>
      <w:r w:rsidRPr="0048559A">
        <w:t>kV.</w:t>
      </w:r>
    </w:p>
    <w:p w14:paraId="77127FDB" w14:textId="77777777" w:rsidR="00BE11AD" w:rsidRDefault="00BE11AD" w:rsidP="00A43E1D">
      <w:pPr>
        <w:jc w:val="both"/>
        <w:rPr>
          <w:b/>
        </w:rPr>
      </w:pPr>
    </w:p>
    <w:p w14:paraId="1BBFE81A" w14:textId="77777777" w:rsidR="005547C9" w:rsidRPr="00BE11AD" w:rsidRDefault="00573F29" w:rsidP="009F17AD">
      <w:pPr>
        <w:keepNext/>
        <w:keepLines/>
        <w:jc w:val="both"/>
        <w:rPr>
          <w:b/>
        </w:rPr>
      </w:pPr>
      <w:r w:rsidRPr="00573F29">
        <w:rPr>
          <w:b/>
        </w:rPr>
        <w:t>References</w:t>
      </w:r>
    </w:p>
    <w:p w14:paraId="02D3B20D" w14:textId="18965753" w:rsidR="00A27B24" w:rsidRDefault="000808D9" w:rsidP="00A43E1D">
      <w:pPr>
        <w:pStyle w:val="ReferencePara"/>
        <w:jc w:val="both"/>
        <w:rPr>
          <w:rFonts w:asciiTheme="minorHAnsi" w:hAnsiTheme="minorHAnsi"/>
          <w:sz w:val="22"/>
          <w:szCs w:val="22"/>
        </w:rPr>
      </w:pPr>
      <w:r w:rsidRPr="00C679DB">
        <w:rPr>
          <w:rFonts w:asciiTheme="minorHAnsi" w:eastAsiaTheme="minorHAnsi" w:hAnsiTheme="minorHAnsi" w:cstheme="minorBidi"/>
          <w:sz w:val="22"/>
          <w:szCs w:val="22"/>
        </w:rPr>
        <w:t xml:space="preserve">Evans, D.J.  2016.  </w:t>
      </w:r>
      <w:r w:rsidRPr="00C679DB">
        <w:rPr>
          <w:rFonts w:asciiTheme="minorHAnsi" w:eastAsiaTheme="minorHAnsi" w:hAnsiTheme="minorHAnsi" w:cstheme="minorBidi"/>
          <w:sz w:val="22"/>
          <w:szCs w:val="22"/>
        </w:rPr>
        <w:fldChar w:fldCharType="begin"/>
      </w:r>
      <w:r w:rsidRPr="00C679DB">
        <w:rPr>
          <w:rFonts w:asciiTheme="minorHAnsi" w:eastAsiaTheme="minorHAnsi" w:hAnsiTheme="minorHAnsi" w:cstheme="minorBidi"/>
          <w:sz w:val="22"/>
          <w:szCs w:val="22"/>
        </w:rPr>
        <w:instrText xml:space="preserve"> DOCPROPERTY "BGS Rpt Title"  \* MERGEFORMAT </w:instrText>
      </w:r>
      <w:r w:rsidRPr="00C679DB">
        <w:rPr>
          <w:rFonts w:asciiTheme="minorHAnsi" w:eastAsiaTheme="minorHAnsi" w:hAnsiTheme="minorHAnsi" w:cstheme="minorBidi"/>
          <w:sz w:val="22"/>
          <w:szCs w:val="22"/>
        </w:rPr>
        <w:fldChar w:fldCharType="separate"/>
      </w:r>
      <w:r w:rsidRPr="00C679DB">
        <w:rPr>
          <w:rFonts w:asciiTheme="minorHAnsi" w:eastAsiaTheme="minorHAnsi" w:hAnsiTheme="minorHAnsi" w:cstheme="minorBidi"/>
          <w:sz w:val="22"/>
          <w:szCs w:val="22"/>
        </w:rPr>
        <w:t>Review of UK underground natural gas, LPG and proposed compressed air storage facilities - location and operational parameters</w:t>
      </w:r>
      <w:r w:rsidRPr="00C679DB">
        <w:rPr>
          <w:rFonts w:asciiTheme="minorHAnsi" w:eastAsiaTheme="minorHAnsi" w:hAnsiTheme="minorHAnsi" w:cstheme="minorBidi"/>
          <w:sz w:val="22"/>
          <w:szCs w:val="22"/>
        </w:rPr>
        <w:fldChar w:fldCharType="end"/>
      </w:r>
      <w:r w:rsidRPr="00C679DB">
        <w:rPr>
          <w:rFonts w:asciiTheme="minorHAnsi" w:eastAsiaTheme="minorHAnsi" w:hAnsiTheme="minorHAnsi" w:cstheme="minorBidi"/>
          <w:sz w:val="22"/>
          <w:szCs w:val="22"/>
        </w:rPr>
        <w:t xml:space="preserve">. British Geological Survey Commercial in </w:t>
      </w:r>
      <w:r w:rsidR="000A49D3" w:rsidRPr="00C679DB">
        <w:rPr>
          <w:rFonts w:asciiTheme="minorHAnsi" w:eastAsiaTheme="minorHAnsi" w:hAnsiTheme="minorHAnsi" w:cstheme="minorBidi"/>
          <w:sz w:val="22"/>
          <w:szCs w:val="22"/>
        </w:rPr>
        <w:t>C</w:t>
      </w:r>
      <w:r w:rsidRPr="00C679DB">
        <w:rPr>
          <w:rFonts w:asciiTheme="minorHAnsi" w:eastAsiaTheme="minorHAnsi" w:hAnsiTheme="minorHAnsi" w:cstheme="minorBidi"/>
          <w:sz w:val="22"/>
          <w:szCs w:val="22"/>
        </w:rPr>
        <w:t>onfidence report, CR/16/197</w:t>
      </w:r>
      <w:r w:rsidR="000A49D3" w:rsidRPr="00C679DB">
        <w:rPr>
          <w:rFonts w:asciiTheme="minorHAnsi" w:eastAsiaTheme="minorHAnsi" w:hAnsiTheme="minorHAnsi" w:cstheme="minorBidi"/>
          <w:sz w:val="22"/>
          <w:szCs w:val="22"/>
        </w:rPr>
        <w:t>,</w:t>
      </w:r>
      <w:r w:rsidRPr="00C679DB">
        <w:rPr>
          <w:rFonts w:asciiTheme="minorHAnsi" w:eastAsiaTheme="minorHAnsi" w:hAnsiTheme="minorHAnsi" w:cstheme="minorBidi"/>
          <w:sz w:val="22"/>
          <w:szCs w:val="22"/>
        </w:rPr>
        <w:t xml:space="preserve"> 98 pp.</w:t>
      </w:r>
    </w:p>
    <w:p w14:paraId="0E625EE3" w14:textId="0B8B864C" w:rsidR="00F10CE3" w:rsidRDefault="00F10CE3" w:rsidP="00A43E1D">
      <w:pPr>
        <w:pStyle w:val="ReferencePara"/>
        <w:jc w:val="both"/>
        <w:rPr>
          <w:rFonts w:asciiTheme="minorHAnsi" w:hAnsiTheme="minorHAnsi"/>
          <w:sz w:val="22"/>
          <w:szCs w:val="22"/>
        </w:rPr>
      </w:pPr>
      <w:r>
        <w:rPr>
          <w:rFonts w:asciiTheme="minorHAnsi" w:hAnsiTheme="minorHAnsi"/>
          <w:sz w:val="22"/>
          <w:szCs w:val="22"/>
        </w:rPr>
        <w:t>Evans, D.J. and Holloway, S. 2009. A review of onshore UK salt deposits and their potential for underground gas storage. Geological Society, London, Special Publications v313, p</w:t>
      </w:r>
      <w:r w:rsidR="00BA38D3">
        <w:rPr>
          <w:rFonts w:asciiTheme="minorHAnsi" w:hAnsiTheme="minorHAnsi"/>
          <w:sz w:val="22"/>
          <w:szCs w:val="22"/>
        </w:rPr>
        <w:t>p</w:t>
      </w:r>
      <w:r>
        <w:rPr>
          <w:rFonts w:asciiTheme="minorHAnsi" w:hAnsiTheme="minorHAnsi"/>
          <w:sz w:val="22"/>
          <w:szCs w:val="22"/>
        </w:rPr>
        <w:t>. 39-80. DOI:</w:t>
      </w:r>
      <w:r>
        <w:rPr>
          <w:rFonts w:ascii="Lucida Sans Unicode" w:hAnsi="Lucida Sans Unicode" w:cs="Lucida Sans Unicode"/>
          <w:b/>
          <w:bCs/>
          <w:color w:val="333300"/>
          <w:sz w:val="14"/>
          <w:szCs w:val="14"/>
          <w:lang w:val="en"/>
        </w:rPr>
        <w:t xml:space="preserve"> </w:t>
      </w:r>
      <w:r w:rsidRPr="00F10CE3">
        <w:rPr>
          <w:rFonts w:asciiTheme="minorHAnsi" w:hAnsiTheme="minorHAnsi"/>
          <w:sz w:val="22"/>
          <w:szCs w:val="22"/>
        </w:rPr>
        <w:t>10.1144/SP313.5</w:t>
      </w:r>
    </w:p>
    <w:p w14:paraId="5A8A84C1" w14:textId="70480240" w:rsidR="00D3134E" w:rsidRDefault="00D3134E" w:rsidP="00C679DB">
      <w:r w:rsidRPr="00C679DB">
        <w:t xml:space="preserve">Hough, </w:t>
      </w:r>
      <w:r>
        <w:t xml:space="preserve">E., </w:t>
      </w:r>
      <w:r w:rsidRPr="00C679DB">
        <w:t>Evans,</w:t>
      </w:r>
      <w:r>
        <w:t xml:space="preserve"> D.J. </w:t>
      </w:r>
      <w:r w:rsidR="00C679DB">
        <w:t>and</w:t>
      </w:r>
      <w:r w:rsidRPr="00C679DB">
        <w:t xml:space="preserve"> </w:t>
      </w:r>
      <w:r>
        <w:t>W</w:t>
      </w:r>
      <w:r w:rsidRPr="00C679DB">
        <w:t>illiamson</w:t>
      </w:r>
      <w:r>
        <w:t xml:space="preserve">, J.P. 2011. A geological reappraisal of the </w:t>
      </w:r>
      <w:proofErr w:type="spellStart"/>
      <w:r>
        <w:t>Preesall</w:t>
      </w:r>
      <w:proofErr w:type="spellEnd"/>
      <w:r>
        <w:t xml:space="preserve"> </w:t>
      </w:r>
      <w:proofErr w:type="spellStart"/>
      <w:r>
        <w:t>Saltfield</w:t>
      </w:r>
      <w:proofErr w:type="spellEnd"/>
      <w:r>
        <w:t>, Lancashire, United Kingdom: recognizing geological factors relevant to gas storage. SMRI 2011 Technical Conference,</w:t>
      </w:r>
      <w:r w:rsidRPr="00D3134E">
        <w:t xml:space="preserve"> </w:t>
      </w:r>
      <w:r>
        <w:t>Fall Meeting, 3–4 October 2011, York, United Kingdom, 21 pp.</w:t>
      </w:r>
    </w:p>
    <w:sectPr w:rsidR="00D3134E" w:rsidSect="006B56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D27ED"/>
    <w:multiLevelType w:val="hybridMultilevel"/>
    <w:tmpl w:val="B87E3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B17D93"/>
    <w:multiLevelType w:val="hybridMultilevel"/>
    <w:tmpl w:val="6E02B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5BB"/>
    <w:rsid w:val="00002901"/>
    <w:rsid w:val="00004FAC"/>
    <w:rsid w:val="000144F6"/>
    <w:rsid w:val="00014936"/>
    <w:rsid w:val="00030A89"/>
    <w:rsid w:val="0004565D"/>
    <w:rsid w:val="000628CC"/>
    <w:rsid w:val="00074AC7"/>
    <w:rsid w:val="000808D9"/>
    <w:rsid w:val="000826E6"/>
    <w:rsid w:val="0008601E"/>
    <w:rsid w:val="0009499E"/>
    <w:rsid w:val="000A1492"/>
    <w:rsid w:val="000A228E"/>
    <w:rsid w:val="000A49D3"/>
    <w:rsid w:val="000B61CE"/>
    <w:rsid w:val="000C041E"/>
    <w:rsid w:val="000F3DF4"/>
    <w:rsid w:val="00111DF9"/>
    <w:rsid w:val="00112285"/>
    <w:rsid w:val="00112CA1"/>
    <w:rsid w:val="0011492E"/>
    <w:rsid w:val="00116050"/>
    <w:rsid w:val="001174E4"/>
    <w:rsid w:val="00126F2F"/>
    <w:rsid w:val="001475AA"/>
    <w:rsid w:val="00161079"/>
    <w:rsid w:val="00170227"/>
    <w:rsid w:val="00170F5F"/>
    <w:rsid w:val="00191455"/>
    <w:rsid w:val="00193AC7"/>
    <w:rsid w:val="00194566"/>
    <w:rsid w:val="001A336E"/>
    <w:rsid w:val="001A4BC6"/>
    <w:rsid w:val="001A7997"/>
    <w:rsid w:val="001B2237"/>
    <w:rsid w:val="001B74A6"/>
    <w:rsid w:val="001C1287"/>
    <w:rsid w:val="001C3C41"/>
    <w:rsid w:val="001D13A2"/>
    <w:rsid w:val="001D5546"/>
    <w:rsid w:val="001E26FE"/>
    <w:rsid w:val="001E29C3"/>
    <w:rsid w:val="001E6DED"/>
    <w:rsid w:val="00206202"/>
    <w:rsid w:val="002134CE"/>
    <w:rsid w:val="00214A2F"/>
    <w:rsid w:val="00223A57"/>
    <w:rsid w:val="00240660"/>
    <w:rsid w:val="00242A8A"/>
    <w:rsid w:val="002449EF"/>
    <w:rsid w:val="002472D5"/>
    <w:rsid w:val="00251C18"/>
    <w:rsid w:val="002608F7"/>
    <w:rsid w:val="00267530"/>
    <w:rsid w:val="00275018"/>
    <w:rsid w:val="00277B87"/>
    <w:rsid w:val="00286955"/>
    <w:rsid w:val="002B06D3"/>
    <w:rsid w:val="002B2A34"/>
    <w:rsid w:val="002B7883"/>
    <w:rsid w:val="002C366F"/>
    <w:rsid w:val="002D32D0"/>
    <w:rsid w:val="002D54CE"/>
    <w:rsid w:val="002E5451"/>
    <w:rsid w:val="002F277A"/>
    <w:rsid w:val="00302A66"/>
    <w:rsid w:val="00303A84"/>
    <w:rsid w:val="003635BB"/>
    <w:rsid w:val="0036687E"/>
    <w:rsid w:val="00385D20"/>
    <w:rsid w:val="00387FA9"/>
    <w:rsid w:val="00397A4A"/>
    <w:rsid w:val="003A1138"/>
    <w:rsid w:val="003A2230"/>
    <w:rsid w:val="003A2498"/>
    <w:rsid w:val="003A7142"/>
    <w:rsid w:val="003A7CC5"/>
    <w:rsid w:val="003D16E1"/>
    <w:rsid w:val="003D4770"/>
    <w:rsid w:val="003F0F1C"/>
    <w:rsid w:val="00402DC5"/>
    <w:rsid w:val="00420C3C"/>
    <w:rsid w:val="00424973"/>
    <w:rsid w:val="004257DD"/>
    <w:rsid w:val="004411B1"/>
    <w:rsid w:val="00443E70"/>
    <w:rsid w:val="0048559A"/>
    <w:rsid w:val="0048697A"/>
    <w:rsid w:val="004A0842"/>
    <w:rsid w:val="004A14C0"/>
    <w:rsid w:val="004D00B6"/>
    <w:rsid w:val="004D02BB"/>
    <w:rsid w:val="004D0596"/>
    <w:rsid w:val="004D06A0"/>
    <w:rsid w:val="004D3C4B"/>
    <w:rsid w:val="004D5110"/>
    <w:rsid w:val="004E0C43"/>
    <w:rsid w:val="004E35F1"/>
    <w:rsid w:val="004E69C7"/>
    <w:rsid w:val="004F7467"/>
    <w:rsid w:val="00514E3F"/>
    <w:rsid w:val="00533BAF"/>
    <w:rsid w:val="0055416C"/>
    <w:rsid w:val="005547C9"/>
    <w:rsid w:val="00554EE6"/>
    <w:rsid w:val="00573F29"/>
    <w:rsid w:val="005747DB"/>
    <w:rsid w:val="005755FF"/>
    <w:rsid w:val="005818F3"/>
    <w:rsid w:val="005864B4"/>
    <w:rsid w:val="00591CBF"/>
    <w:rsid w:val="00592D94"/>
    <w:rsid w:val="005A1692"/>
    <w:rsid w:val="005A5F70"/>
    <w:rsid w:val="005D36E8"/>
    <w:rsid w:val="005E6422"/>
    <w:rsid w:val="005F1DB3"/>
    <w:rsid w:val="00607E5A"/>
    <w:rsid w:val="00611B98"/>
    <w:rsid w:val="00611BDA"/>
    <w:rsid w:val="00612E55"/>
    <w:rsid w:val="0061397F"/>
    <w:rsid w:val="006537DD"/>
    <w:rsid w:val="00664B6D"/>
    <w:rsid w:val="00677EF4"/>
    <w:rsid w:val="0068065C"/>
    <w:rsid w:val="0068371C"/>
    <w:rsid w:val="00690D28"/>
    <w:rsid w:val="00691073"/>
    <w:rsid w:val="0069576A"/>
    <w:rsid w:val="00697B04"/>
    <w:rsid w:val="006A14F3"/>
    <w:rsid w:val="006A6DC8"/>
    <w:rsid w:val="006B56B4"/>
    <w:rsid w:val="006D2CE1"/>
    <w:rsid w:val="006D6719"/>
    <w:rsid w:val="006D6D3C"/>
    <w:rsid w:val="006E0193"/>
    <w:rsid w:val="006E6B9B"/>
    <w:rsid w:val="006F0AD7"/>
    <w:rsid w:val="006F7E29"/>
    <w:rsid w:val="007054CA"/>
    <w:rsid w:val="007125E0"/>
    <w:rsid w:val="00717FEE"/>
    <w:rsid w:val="00722BE4"/>
    <w:rsid w:val="00724635"/>
    <w:rsid w:val="007401AF"/>
    <w:rsid w:val="00743CEC"/>
    <w:rsid w:val="00744A3D"/>
    <w:rsid w:val="007506FB"/>
    <w:rsid w:val="0076165B"/>
    <w:rsid w:val="00762F29"/>
    <w:rsid w:val="0076475F"/>
    <w:rsid w:val="00765256"/>
    <w:rsid w:val="00771580"/>
    <w:rsid w:val="0078551D"/>
    <w:rsid w:val="00786A56"/>
    <w:rsid w:val="0079347F"/>
    <w:rsid w:val="00794C3E"/>
    <w:rsid w:val="007B314B"/>
    <w:rsid w:val="007B544A"/>
    <w:rsid w:val="007D536B"/>
    <w:rsid w:val="00813375"/>
    <w:rsid w:val="00824D30"/>
    <w:rsid w:val="00825D49"/>
    <w:rsid w:val="00826F94"/>
    <w:rsid w:val="0083362F"/>
    <w:rsid w:val="0083498B"/>
    <w:rsid w:val="008376BB"/>
    <w:rsid w:val="00850011"/>
    <w:rsid w:val="00854E59"/>
    <w:rsid w:val="00855949"/>
    <w:rsid w:val="0087335B"/>
    <w:rsid w:val="00877EAE"/>
    <w:rsid w:val="00897CBD"/>
    <w:rsid w:val="008A3702"/>
    <w:rsid w:val="008A5277"/>
    <w:rsid w:val="008A5F78"/>
    <w:rsid w:val="008A66FC"/>
    <w:rsid w:val="008B0018"/>
    <w:rsid w:val="008B07A6"/>
    <w:rsid w:val="008D46C2"/>
    <w:rsid w:val="008D5648"/>
    <w:rsid w:val="008E2FA2"/>
    <w:rsid w:val="008F3486"/>
    <w:rsid w:val="008F4795"/>
    <w:rsid w:val="008F4DA1"/>
    <w:rsid w:val="00903CB5"/>
    <w:rsid w:val="00913C85"/>
    <w:rsid w:val="009215BD"/>
    <w:rsid w:val="00922AA8"/>
    <w:rsid w:val="009231C1"/>
    <w:rsid w:val="0093145F"/>
    <w:rsid w:val="00933A36"/>
    <w:rsid w:val="00935348"/>
    <w:rsid w:val="009455A9"/>
    <w:rsid w:val="009455B1"/>
    <w:rsid w:val="00954FE2"/>
    <w:rsid w:val="0096075A"/>
    <w:rsid w:val="00961942"/>
    <w:rsid w:val="00970101"/>
    <w:rsid w:val="00976BB8"/>
    <w:rsid w:val="00981E8D"/>
    <w:rsid w:val="00991EDA"/>
    <w:rsid w:val="009A13D2"/>
    <w:rsid w:val="009A18E3"/>
    <w:rsid w:val="009A241D"/>
    <w:rsid w:val="009A5DBE"/>
    <w:rsid w:val="009A69E7"/>
    <w:rsid w:val="009B4658"/>
    <w:rsid w:val="009B4F51"/>
    <w:rsid w:val="009B6C20"/>
    <w:rsid w:val="009C0A3B"/>
    <w:rsid w:val="009C0D50"/>
    <w:rsid w:val="009D7EE8"/>
    <w:rsid w:val="009E213E"/>
    <w:rsid w:val="009F17AD"/>
    <w:rsid w:val="00A16F51"/>
    <w:rsid w:val="00A24208"/>
    <w:rsid w:val="00A24262"/>
    <w:rsid w:val="00A27B24"/>
    <w:rsid w:val="00A30705"/>
    <w:rsid w:val="00A36613"/>
    <w:rsid w:val="00A409D3"/>
    <w:rsid w:val="00A43E1D"/>
    <w:rsid w:val="00A56062"/>
    <w:rsid w:val="00A72106"/>
    <w:rsid w:val="00A72F5F"/>
    <w:rsid w:val="00A81F33"/>
    <w:rsid w:val="00A8435B"/>
    <w:rsid w:val="00A92428"/>
    <w:rsid w:val="00AA159B"/>
    <w:rsid w:val="00AA3292"/>
    <w:rsid w:val="00AB29BE"/>
    <w:rsid w:val="00AB70BD"/>
    <w:rsid w:val="00AC7505"/>
    <w:rsid w:val="00AC75F5"/>
    <w:rsid w:val="00B30CBC"/>
    <w:rsid w:val="00B34B77"/>
    <w:rsid w:val="00B4052D"/>
    <w:rsid w:val="00B55C82"/>
    <w:rsid w:val="00B60D52"/>
    <w:rsid w:val="00B64221"/>
    <w:rsid w:val="00B66F61"/>
    <w:rsid w:val="00B81CA6"/>
    <w:rsid w:val="00B82B4A"/>
    <w:rsid w:val="00B9240D"/>
    <w:rsid w:val="00B94C55"/>
    <w:rsid w:val="00B95E5D"/>
    <w:rsid w:val="00BA0EBC"/>
    <w:rsid w:val="00BA38D3"/>
    <w:rsid w:val="00BA4C68"/>
    <w:rsid w:val="00BB2675"/>
    <w:rsid w:val="00BB648F"/>
    <w:rsid w:val="00BC40CB"/>
    <w:rsid w:val="00BD080D"/>
    <w:rsid w:val="00BD517A"/>
    <w:rsid w:val="00BD66FB"/>
    <w:rsid w:val="00BE11AD"/>
    <w:rsid w:val="00BE589B"/>
    <w:rsid w:val="00BE7C3B"/>
    <w:rsid w:val="00BF66F9"/>
    <w:rsid w:val="00BF6EDE"/>
    <w:rsid w:val="00C03D85"/>
    <w:rsid w:val="00C04D67"/>
    <w:rsid w:val="00C04E70"/>
    <w:rsid w:val="00C107DD"/>
    <w:rsid w:val="00C12662"/>
    <w:rsid w:val="00C16D88"/>
    <w:rsid w:val="00C24F64"/>
    <w:rsid w:val="00C31F6F"/>
    <w:rsid w:val="00C32812"/>
    <w:rsid w:val="00C351A5"/>
    <w:rsid w:val="00C4392F"/>
    <w:rsid w:val="00C55CE9"/>
    <w:rsid w:val="00C57465"/>
    <w:rsid w:val="00C679DB"/>
    <w:rsid w:val="00C67B54"/>
    <w:rsid w:val="00C74399"/>
    <w:rsid w:val="00C75DC0"/>
    <w:rsid w:val="00C76724"/>
    <w:rsid w:val="00C87593"/>
    <w:rsid w:val="00C9016D"/>
    <w:rsid w:val="00C937B4"/>
    <w:rsid w:val="00C963C6"/>
    <w:rsid w:val="00CA1452"/>
    <w:rsid w:val="00CC50F1"/>
    <w:rsid w:val="00D0106B"/>
    <w:rsid w:val="00D02850"/>
    <w:rsid w:val="00D04BC3"/>
    <w:rsid w:val="00D11AD2"/>
    <w:rsid w:val="00D14CEB"/>
    <w:rsid w:val="00D21D73"/>
    <w:rsid w:val="00D31250"/>
    <w:rsid w:val="00D3134E"/>
    <w:rsid w:val="00D407FF"/>
    <w:rsid w:val="00D47027"/>
    <w:rsid w:val="00D668AB"/>
    <w:rsid w:val="00D8407E"/>
    <w:rsid w:val="00D91E7B"/>
    <w:rsid w:val="00DA1349"/>
    <w:rsid w:val="00DB161E"/>
    <w:rsid w:val="00DC037C"/>
    <w:rsid w:val="00DC7A5B"/>
    <w:rsid w:val="00DD1729"/>
    <w:rsid w:val="00DD62BD"/>
    <w:rsid w:val="00DE365F"/>
    <w:rsid w:val="00DF3360"/>
    <w:rsid w:val="00E03212"/>
    <w:rsid w:val="00E071D5"/>
    <w:rsid w:val="00E24B1C"/>
    <w:rsid w:val="00E270D6"/>
    <w:rsid w:val="00E41C50"/>
    <w:rsid w:val="00E5161F"/>
    <w:rsid w:val="00E54543"/>
    <w:rsid w:val="00E77745"/>
    <w:rsid w:val="00E81E2E"/>
    <w:rsid w:val="00E833D3"/>
    <w:rsid w:val="00EB1493"/>
    <w:rsid w:val="00EC20BA"/>
    <w:rsid w:val="00ED05BD"/>
    <w:rsid w:val="00F00533"/>
    <w:rsid w:val="00F01F7B"/>
    <w:rsid w:val="00F065FE"/>
    <w:rsid w:val="00F10CE3"/>
    <w:rsid w:val="00F13967"/>
    <w:rsid w:val="00F20BD1"/>
    <w:rsid w:val="00F239E6"/>
    <w:rsid w:val="00F368B8"/>
    <w:rsid w:val="00F413A4"/>
    <w:rsid w:val="00F52409"/>
    <w:rsid w:val="00F807B6"/>
    <w:rsid w:val="00F81DE5"/>
    <w:rsid w:val="00FB3D67"/>
    <w:rsid w:val="00FC1AA1"/>
    <w:rsid w:val="00FC5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E716C"/>
  <w15:chartTrackingRefBased/>
  <w15:docId w15:val="{A5A660AA-D3BA-42AA-A170-89314F7FC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56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B56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D517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35BB"/>
    <w:pPr>
      <w:autoSpaceDE w:val="0"/>
      <w:autoSpaceDN w:val="0"/>
      <w:adjustRightInd w:val="0"/>
      <w:spacing w:after="0" w:line="240" w:lineRule="auto"/>
    </w:pPr>
    <w:rPr>
      <w:rFonts w:ascii="Arial" w:hAnsi="Arial" w:cs="Arial"/>
      <w:color w:val="000000"/>
      <w:sz w:val="24"/>
      <w:szCs w:val="24"/>
    </w:rPr>
  </w:style>
  <w:style w:type="character" w:styleId="LineNumber">
    <w:name w:val="line number"/>
    <w:basedOn w:val="DefaultParagraphFont"/>
    <w:uiPriority w:val="99"/>
    <w:semiHidden/>
    <w:unhideWhenUsed/>
    <w:rsid w:val="003635BB"/>
  </w:style>
  <w:style w:type="paragraph" w:customStyle="1" w:styleId="BodyText1">
    <w:name w:val="Body Text1"/>
    <w:rsid w:val="00B9240D"/>
    <w:pPr>
      <w:tabs>
        <w:tab w:val="left" w:pos="284"/>
      </w:tabs>
      <w:spacing w:after="0" w:line="220" w:lineRule="exact"/>
      <w:ind w:firstLine="284"/>
      <w:jc w:val="both"/>
    </w:pPr>
    <w:rPr>
      <w:rFonts w:ascii="Times" w:eastAsia="Times New Roman" w:hAnsi="Times" w:cs="Times New Roman"/>
      <w:noProof/>
      <w:sz w:val="18"/>
      <w:szCs w:val="20"/>
    </w:rPr>
  </w:style>
  <w:style w:type="paragraph" w:customStyle="1" w:styleId="ReferencePara">
    <w:name w:val="Reference Para"/>
    <w:basedOn w:val="Normal"/>
    <w:rsid w:val="009215BD"/>
    <w:pPr>
      <w:spacing w:after="120" w:line="240" w:lineRule="auto"/>
    </w:pPr>
    <w:rPr>
      <w:rFonts w:ascii="Times New Roman" w:eastAsia="Times New Roman" w:hAnsi="Times New Roman" w:cs="Times New Roman"/>
      <w:sz w:val="18"/>
      <w:szCs w:val="20"/>
    </w:rPr>
  </w:style>
  <w:style w:type="character" w:customStyle="1" w:styleId="slug-doi">
    <w:name w:val="slug-doi"/>
    <w:basedOn w:val="DefaultParagraphFont"/>
    <w:rsid w:val="00AC7505"/>
  </w:style>
  <w:style w:type="character" w:customStyle="1" w:styleId="slug-jnl-abbrev">
    <w:name w:val="slug-jnl-abbrev"/>
    <w:basedOn w:val="DefaultParagraphFont"/>
    <w:rsid w:val="00AC7505"/>
  </w:style>
  <w:style w:type="character" w:customStyle="1" w:styleId="slug-pub-date3">
    <w:name w:val="slug-pub-date3"/>
    <w:basedOn w:val="DefaultParagraphFont"/>
    <w:rsid w:val="00AC7505"/>
    <w:rPr>
      <w:b/>
      <w:bCs/>
    </w:rPr>
  </w:style>
  <w:style w:type="character" w:customStyle="1" w:styleId="slug-vol">
    <w:name w:val="slug-vol"/>
    <w:basedOn w:val="DefaultParagraphFont"/>
    <w:rsid w:val="00AC7505"/>
  </w:style>
  <w:style w:type="character" w:customStyle="1" w:styleId="slug-pages3">
    <w:name w:val="slug-pages3"/>
    <w:basedOn w:val="DefaultParagraphFont"/>
    <w:rsid w:val="00AC7505"/>
    <w:rPr>
      <w:b/>
      <w:bCs/>
    </w:rPr>
  </w:style>
  <w:style w:type="character" w:styleId="Hyperlink">
    <w:name w:val="Hyperlink"/>
    <w:basedOn w:val="DefaultParagraphFont"/>
    <w:uiPriority w:val="99"/>
    <w:rsid w:val="00AC7505"/>
    <w:rPr>
      <w:color w:val="0000FF"/>
      <w:u w:val="single"/>
    </w:rPr>
  </w:style>
  <w:style w:type="paragraph" w:styleId="ListParagraph">
    <w:name w:val="List Paragraph"/>
    <w:basedOn w:val="Normal"/>
    <w:uiPriority w:val="34"/>
    <w:qFormat/>
    <w:rsid w:val="0048559A"/>
    <w:pPr>
      <w:ind w:left="720"/>
      <w:contextualSpacing/>
    </w:pPr>
  </w:style>
  <w:style w:type="paragraph" w:styleId="Caption">
    <w:name w:val="caption"/>
    <w:basedOn w:val="Normal"/>
    <w:next w:val="Normal"/>
    <w:uiPriority w:val="35"/>
    <w:unhideWhenUsed/>
    <w:qFormat/>
    <w:rsid w:val="0061397F"/>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1D13A2"/>
    <w:rPr>
      <w:sz w:val="16"/>
      <w:szCs w:val="16"/>
    </w:rPr>
  </w:style>
  <w:style w:type="paragraph" w:styleId="BalloonText">
    <w:name w:val="Balloon Text"/>
    <w:basedOn w:val="Normal"/>
    <w:link w:val="BalloonTextChar"/>
    <w:uiPriority w:val="99"/>
    <w:semiHidden/>
    <w:unhideWhenUsed/>
    <w:rsid w:val="001D1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3A2"/>
    <w:rPr>
      <w:rFonts w:ascii="Segoe UI" w:hAnsi="Segoe UI" w:cs="Segoe UI"/>
      <w:sz w:val="18"/>
      <w:szCs w:val="18"/>
    </w:rPr>
  </w:style>
  <w:style w:type="paragraph" w:styleId="CommentText">
    <w:name w:val="annotation text"/>
    <w:basedOn w:val="Normal"/>
    <w:link w:val="CommentTextChar"/>
    <w:uiPriority w:val="99"/>
    <w:semiHidden/>
    <w:unhideWhenUsed/>
    <w:rsid w:val="009455B1"/>
    <w:pPr>
      <w:spacing w:line="240" w:lineRule="auto"/>
    </w:pPr>
    <w:rPr>
      <w:sz w:val="20"/>
      <w:szCs w:val="20"/>
    </w:rPr>
  </w:style>
  <w:style w:type="character" w:customStyle="1" w:styleId="CommentTextChar">
    <w:name w:val="Comment Text Char"/>
    <w:basedOn w:val="DefaultParagraphFont"/>
    <w:link w:val="CommentText"/>
    <w:uiPriority w:val="99"/>
    <w:semiHidden/>
    <w:rsid w:val="009455B1"/>
    <w:rPr>
      <w:sz w:val="20"/>
      <w:szCs w:val="20"/>
    </w:rPr>
  </w:style>
  <w:style w:type="paragraph" w:styleId="CommentSubject">
    <w:name w:val="annotation subject"/>
    <w:basedOn w:val="CommentText"/>
    <w:next w:val="CommentText"/>
    <w:link w:val="CommentSubjectChar"/>
    <w:uiPriority w:val="99"/>
    <w:semiHidden/>
    <w:unhideWhenUsed/>
    <w:rsid w:val="009455B1"/>
    <w:rPr>
      <w:b/>
      <w:bCs/>
    </w:rPr>
  </w:style>
  <w:style w:type="character" w:customStyle="1" w:styleId="CommentSubjectChar">
    <w:name w:val="Comment Subject Char"/>
    <w:basedOn w:val="CommentTextChar"/>
    <w:link w:val="CommentSubject"/>
    <w:uiPriority w:val="99"/>
    <w:semiHidden/>
    <w:rsid w:val="009455B1"/>
    <w:rPr>
      <w:b/>
      <w:bCs/>
      <w:sz w:val="20"/>
      <w:szCs w:val="20"/>
    </w:rPr>
  </w:style>
  <w:style w:type="table" w:styleId="TableGrid">
    <w:name w:val="Table Grid"/>
    <w:basedOn w:val="TableNormal"/>
    <w:uiPriority w:val="39"/>
    <w:rsid w:val="006F7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78551D"/>
  </w:style>
  <w:style w:type="character" w:customStyle="1" w:styleId="Heading3Char">
    <w:name w:val="Heading 3 Char"/>
    <w:basedOn w:val="DefaultParagraphFont"/>
    <w:link w:val="Heading3"/>
    <w:uiPriority w:val="9"/>
    <w:rsid w:val="00BD517A"/>
    <w:rPr>
      <w:rFonts w:ascii="Times New Roman" w:eastAsia="Times New Roman" w:hAnsi="Times New Roman" w:cs="Times New Roman"/>
      <w:b/>
      <w:bCs/>
      <w:sz w:val="27"/>
      <w:szCs w:val="27"/>
      <w:lang w:eastAsia="en-GB"/>
    </w:rPr>
  </w:style>
  <w:style w:type="character" w:customStyle="1" w:styleId="Heading1Char">
    <w:name w:val="Heading 1 Char"/>
    <w:basedOn w:val="DefaultParagraphFont"/>
    <w:link w:val="Heading1"/>
    <w:uiPriority w:val="9"/>
    <w:rsid w:val="006B56B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B56B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62062">
      <w:bodyDiv w:val="1"/>
      <w:marLeft w:val="0"/>
      <w:marRight w:val="0"/>
      <w:marTop w:val="0"/>
      <w:marBottom w:val="0"/>
      <w:divBdr>
        <w:top w:val="none" w:sz="0" w:space="0" w:color="auto"/>
        <w:left w:val="none" w:sz="0" w:space="0" w:color="auto"/>
        <w:bottom w:val="none" w:sz="0" w:space="0" w:color="auto"/>
        <w:right w:val="none" w:sz="0" w:space="0" w:color="auto"/>
      </w:divBdr>
    </w:div>
    <w:div w:id="37559935">
      <w:bodyDiv w:val="1"/>
      <w:marLeft w:val="0"/>
      <w:marRight w:val="0"/>
      <w:marTop w:val="0"/>
      <w:marBottom w:val="0"/>
      <w:divBdr>
        <w:top w:val="none" w:sz="0" w:space="0" w:color="auto"/>
        <w:left w:val="none" w:sz="0" w:space="0" w:color="auto"/>
        <w:bottom w:val="none" w:sz="0" w:space="0" w:color="auto"/>
        <w:right w:val="none" w:sz="0" w:space="0" w:color="auto"/>
      </w:divBdr>
    </w:div>
    <w:div w:id="315765062">
      <w:bodyDiv w:val="1"/>
      <w:marLeft w:val="0"/>
      <w:marRight w:val="0"/>
      <w:marTop w:val="0"/>
      <w:marBottom w:val="0"/>
      <w:divBdr>
        <w:top w:val="none" w:sz="0" w:space="0" w:color="auto"/>
        <w:left w:val="none" w:sz="0" w:space="0" w:color="auto"/>
        <w:bottom w:val="none" w:sz="0" w:space="0" w:color="auto"/>
        <w:right w:val="none" w:sz="0" w:space="0" w:color="auto"/>
      </w:divBdr>
    </w:div>
    <w:div w:id="409933367">
      <w:bodyDiv w:val="1"/>
      <w:marLeft w:val="0"/>
      <w:marRight w:val="0"/>
      <w:marTop w:val="0"/>
      <w:marBottom w:val="0"/>
      <w:divBdr>
        <w:top w:val="none" w:sz="0" w:space="0" w:color="auto"/>
        <w:left w:val="none" w:sz="0" w:space="0" w:color="auto"/>
        <w:bottom w:val="none" w:sz="0" w:space="0" w:color="auto"/>
        <w:right w:val="none" w:sz="0" w:space="0" w:color="auto"/>
      </w:divBdr>
    </w:div>
    <w:div w:id="483393741">
      <w:bodyDiv w:val="1"/>
      <w:marLeft w:val="0"/>
      <w:marRight w:val="0"/>
      <w:marTop w:val="0"/>
      <w:marBottom w:val="0"/>
      <w:divBdr>
        <w:top w:val="none" w:sz="0" w:space="0" w:color="auto"/>
        <w:left w:val="none" w:sz="0" w:space="0" w:color="auto"/>
        <w:bottom w:val="none" w:sz="0" w:space="0" w:color="auto"/>
        <w:right w:val="none" w:sz="0" w:space="0" w:color="auto"/>
      </w:divBdr>
      <w:divsChild>
        <w:div w:id="1701053774">
          <w:marLeft w:val="0"/>
          <w:marRight w:val="0"/>
          <w:marTop w:val="0"/>
          <w:marBottom w:val="0"/>
          <w:divBdr>
            <w:top w:val="none" w:sz="0" w:space="0" w:color="auto"/>
            <w:left w:val="none" w:sz="0" w:space="0" w:color="auto"/>
            <w:bottom w:val="none" w:sz="0" w:space="0" w:color="auto"/>
            <w:right w:val="none" w:sz="0" w:space="0" w:color="auto"/>
          </w:divBdr>
          <w:divsChild>
            <w:div w:id="2121609969">
              <w:marLeft w:val="0"/>
              <w:marRight w:val="0"/>
              <w:marTop w:val="0"/>
              <w:marBottom w:val="0"/>
              <w:divBdr>
                <w:top w:val="none" w:sz="0" w:space="0" w:color="auto"/>
                <w:left w:val="none" w:sz="0" w:space="0" w:color="auto"/>
                <w:bottom w:val="none" w:sz="0" w:space="0" w:color="auto"/>
                <w:right w:val="none" w:sz="0" w:space="0" w:color="auto"/>
              </w:divBdr>
              <w:divsChild>
                <w:div w:id="966352372">
                  <w:marLeft w:val="0"/>
                  <w:marRight w:val="0"/>
                  <w:marTop w:val="0"/>
                  <w:marBottom w:val="0"/>
                  <w:divBdr>
                    <w:top w:val="none" w:sz="0" w:space="0" w:color="auto"/>
                    <w:left w:val="none" w:sz="0" w:space="0" w:color="auto"/>
                    <w:bottom w:val="none" w:sz="0" w:space="0" w:color="auto"/>
                    <w:right w:val="none" w:sz="0" w:space="0" w:color="auto"/>
                  </w:divBdr>
                  <w:divsChild>
                    <w:div w:id="1925843430">
                      <w:marLeft w:val="0"/>
                      <w:marRight w:val="0"/>
                      <w:marTop w:val="0"/>
                      <w:marBottom w:val="0"/>
                      <w:divBdr>
                        <w:top w:val="none" w:sz="0" w:space="0" w:color="auto"/>
                        <w:left w:val="none" w:sz="0" w:space="0" w:color="auto"/>
                        <w:bottom w:val="none" w:sz="0" w:space="0" w:color="auto"/>
                        <w:right w:val="none" w:sz="0" w:space="0" w:color="auto"/>
                      </w:divBdr>
                      <w:divsChild>
                        <w:div w:id="1016804705">
                          <w:marLeft w:val="0"/>
                          <w:marRight w:val="105"/>
                          <w:marTop w:val="0"/>
                          <w:marBottom w:val="0"/>
                          <w:divBdr>
                            <w:top w:val="single" w:sz="6" w:space="15" w:color="D9D9D9"/>
                            <w:left w:val="single" w:sz="6" w:space="8" w:color="D9D9D9"/>
                            <w:bottom w:val="single" w:sz="6" w:space="15" w:color="D9D9D9"/>
                            <w:right w:val="single" w:sz="6" w:space="8" w:color="D9D9D9"/>
                          </w:divBdr>
                          <w:divsChild>
                            <w:div w:id="1685131997">
                              <w:marLeft w:val="0"/>
                              <w:marRight w:val="0"/>
                              <w:marTop w:val="0"/>
                              <w:marBottom w:val="0"/>
                              <w:divBdr>
                                <w:top w:val="none" w:sz="0" w:space="0" w:color="auto"/>
                                <w:left w:val="none" w:sz="0" w:space="0" w:color="auto"/>
                                <w:bottom w:val="none" w:sz="0" w:space="0" w:color="auto"/>
                                <w:right w:val="none" w:sz="0" w:space="0" w:color="auto"/>
                              </w:divBdr>
                              <w:divsChild>
                                <w:div w:id="432752734">
                                  <w:marLeft w:val="0"/>
                                  <w:marRight w:val="0"/>
                                  <w:marTop w:val="0"/>
                                  <w:marBottom w:val="0"/>
                                  <w:divBdr>
                                    <w:top w:val="none" w:sz="0" w:space="0" w:color="auto"/>
                                    <w:left w:val="none" w:sz="0" w:space="0" w:color="auto"/>
                                    <w:bottom w:val="none" w:sz="0" w:space="0" w:color="auto"/>
                                    <w:right w:val="none" w:sz="0" w:space="0" w:color="auto"/>
                                  </w:divBdr>
                                  <w:divsChild>
                                    <w:div w:id="1530071174">
                                      <w:marLeft w:val="0"/>
                                      <w:marRight w:val="0"/>
                                      <w:marTop w:val="0"/>
                                      <w:marBottom w:val="0"/>
                                      <w:divBdr>
                                        <w:top w:val="none" w:sz="0" w:space="0" w:color="auto"/>
                                        <w:left w:val="none" w:sz="0" w:space="0" w:color="auto"/>
                                        <w:bottom w:val="none" w:sz="0" w:space="0" w:color="auto"/>
                                        <w:right w:val="none" w:sz="0" w:space="0" w:color="auto"/>
                                      </w:divBdr>
                                    </w:div>
                                    <w:div w:id="20514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049434">
      <w:bodyDiv w:val="1"/>
      <w:marLeft w:val="0"/>
      <w:marRight w:val="0"/>
      <w:marTop w:val="0"/>
      <w:marBottom w:val="0"/>
      <w:divBdr>
        <w:top w:val="none" w:sz="0" w:space="0" w:color="auto"/>
        <w:left w:val="none" w:sz="0" w:space="0" w:color="auto"/>
        <w:bottom w:val="none" w:sz="0" w:space="0" w:color="auto"/>
        <w:right w:val="none" w:sz="0" w:space="0" w:color="auto"/>
      </w:divBdr>
    </w:div>
    <w:div w:id="1444110241">
      <w:bodyDiv w:val="1"/>
      <w:marLeft w:val="0"/>
      <w:marRight w:val="0"/>
      <w:marTop w:val="0"/>
      <w:marBottom w:val="0"/>
      <w:divBdr>
        <w:top w:val="none" w:sz="0" w:space="0" w:color="auto"/>
        <w:left w:val="none" w:sz="0" w:space="0" w:color="auto"/>
        <w:bottom w:val="none" w:sz="0" w:space="0" w:color="auto"/>
        <w:right w:val="none" w:sz="0" w:space="0" w:color="auto"/>
      </w:divBdr>
    </w:div>
    <w:div w:id="1472400232">
      <w:bodyDiv w:val="1"/>
      <w:marLeft w:val="0"/>
      <w:marRight w:val="0"/>
      <w:marTop w:val="0"/>
      <w:marBottom w:val="0"/>
      <w:divBdr>
        <w:top w:val="none" w:sz="0" w:space="0" w:color="auto"/>
        <w:left w:val="none" w:sz="0" w:space="0" w:color="auto"/>
        <w:bottom w:val="none" w:sz="0" w:space="0" w:color="auto"/>
        <w:right w:val="none" w:sz="0" w:space="0" w:color="auto"/>
      </w:divBdr>
      <w:divsChild>
        <w:div w:id="2021731930">
          <w:marLeft w:val="0"/>
          <w:marRight w:val="0"/>
          <w:marTop w:val="0"/>
          <w:marBottom w:val="0"/>
          <w:divBdr>
            <w:top w:val="none" w:sz="0" w:space="0" w:color="auto"/>
            <w:left w:val="none" w:sz="0" w:space="0" w:color="auto"/>
            <w:bottom w:val="none" w:sz="0" w:space="0" w:color="auto"/>
            <w:right w:val="none" w:sz="0" w:space="0" w:color="auto"/>
          </w:divBdr>
          <w:divsChild>
            <w:div w:id="1906645207">
              <w:marLeft w:val="0"/>
              <w:marRight w:val="0"/>
              <w:marTop w:val="0"/>
              <w:marBottom w:val="0"/>
              <w:divBdr>
                <w:top w:val="none" w:sz="0" w:space="0" w:color="auto"/>
                <w:left w:val="none" w:sz="0" w:space="0" w:color="auto"/>
                <w:bottom w:val="none" w:sz="0" w:space="0" w:color="auto"/>
                <w:right w:val="none" w:sz="0" w:space="0" w:color="auto"/>
              </w:divBdr>
              <w:divsChild>
                <w:div w:id="1809086932">
                  <w:marLeft w:val="0"/>
                  <w:marRight w:val="0"/>
                  <w:marTop w:val="0"/>
                  <w:marBottom w:val="0"/>
                  <w:divBdr>
                    <w:top w:val="none" w:sz="0" w:space="0" w:color="auto"/>
                    <w:left w:val="none" w:sz="0" w:space="0" w:color="auto"/>
                    <w:bottom w:val="none" w:sz="0" w:space="0" w:color="auto"/>
                    <w:right w:val="none" w:sz="0" w:space="0" w:color="auto"/>
                  </w:divBdr>
                  <w:divsChild>
                    <w:div w:id="1056005673">
                      <w:marLeft w:val="0"/>
                      <w:marRight w:val="0"/>
                      <w:marTop w:val="0"/>
                      <w:marBottom w:val="0"/>
                      <w:divBdr>
                        <w:top w:val="none" w:sz="0" w:space="0" w:color="auto"/>
                        <w:left w:val="none" w:sz="0" w:space="0" w:color="auto"/>
                        <w:bottom w:val="none" w:sz="0" w:space="0" w:color="auto"/>
                        <w:right w:val="none" w:sz="0" w:space="0" w:color="auto"/>
                      </w:divBdr>
                      <w:divsChild>
                        <w:div w:id="206995180">
                          <w:marLeft w:val="0"/>
                          <w:marRight w:val="105"/>
                          <w:marTop w:val="0"/>
                          <w:marBottom w:val="0"/>
                          <w:divBdr>
                            <w:top w:val="single" w:sz="6" w:space="15" w:color="D9D9D9"/>
                            <w:left w:val="single" w:sz="6" w:space="8" w:color="D9D9D9"/>
                            <w:bottom w:val="single" w:sz="6" w:space="15" w:color="D9D9D9"/>
                            <w:right w:val="single" w:sz="6" w:space="8" w:color="D9D9D9"/>
                          </w:divBdr>
                          <w:divsChild>
                            <w:div w:id="1669596247">
                              <w:marLeft w:val="0"/>
                              <w:marRight w:val="0"/>
                              <w:marTop w:val="0"/>
                              <w:marBottom w:val="0"/>
                              <w:divBdr>
                                <w:top w:val="none" w:sz="0" w:space="0" w:color="auto"/>
                                <w:left w:val="none" w:sz="0" w:space="0" w:color="auto"/>
                                <w:bottom w:val="none" w:sz="0" w:space="0" w:color="auto"/>
                                <w:right w:val="none" w:sz="0" w:space="0" w:color="auto"/>
                              </w:divBdr>
                              <w:divsChild>
                                <w:div w:id="884023514">
                                  <w:marLeft w:val="0"/>
                                  <w:marRight w:val="0"/>
                                  <w:marTop w:val="0"/>
                                  <w:marBottom w:val="0"/>
                                  <w:divBdr>
                                    <w:top w:val="none" w:sz="0" w:space="0" w:color="auto"/>
                                    <w:left w:val="none" w:sz="0" w:space="0" w:color="auto"/>
                                    <w:bottom w:val="none" w:sz="0" w:space="0" w:color="auto"/>
                                    <w:right w:val="none" w:sz="0" w:space="0" w:color="auto"/>
                                  </w:divBdr>
                                  <w:divsChild>
                                    <w:div w:id="323780216">
                                      <w:marLeft w:val="0"/>
                                      <w:marRight w:val="0"/>
                                      <w:marTop w:val="0"/>
                                      <w:marBottom w:val="0"/>
                                      <w:divBdr>
                                        <w:top w:val="none" w:sz="0" w:space="0" w:color="auto"/>
                                        <w:left w:val="none" w:sz="0" w:space="0" w:color="auto"/>
                                        <w:bottom w:val="none" w:sz="0" w:space="0" w:color="auto"/>
                                        <w:right w:val="none" w:sz="0" w:space="0" w:color="auto"/>
                                      </w:divBdr>
                                    </w:div>
                                    <w:div w:id="18753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597482">
      <w:bodyDiv w:val="1"/>
      <w:marLeft w:val="0"/>
      <w:marRight w:val="0"/>
      <w:marTop w:val="0"/>
      <w:marBottom w:val="0"/>
      <w:divBdr>
        <w:top w:val="none" w:sz="0" w:space="0" w:color="auto"/>
        <w:left w:val="none" w:sz="0" w:space="0" w:color="auto"/>
        <w:bottom w:val="none" w:sz="0" w:space="0" w:color="auto"/>
        <w:right w:val="none" w:sz="0" w:space="0" w:color="auto"/>
      </w:divBdr>
    </w:div>
    <w:div w:id="2138402585">
      <w:bodyDiv w:val="1"/>
      <w:marLeft w:val="0"/>
      <w:marRight w:val="0"/>
      <w:marTop w:val="0"/>
      <w:marBottom w:val="0"/>
      <w:divBdr>
        <w:top w:val="none" w:sz="0" w:space="0" w:color="auto"/>
        <w:left w:val="none" w:sz="0" w:space="0" w:color="auto"/>
        <w:bottom w:val="none" w:sz="0" w:space="0" w:color="auto"/>
        <w:right w:val="none" w:sz="0" w:space="0" w:color="auto"/>
      </w:divBdr>
      <w:divsChild>
        <w:div w:id="549070043">
          <w:marLeft w:val="0"/>
          <w:marRight w:val="0"/>
          <w:marTop w:val="0"/>
          <w:marBottom w:val="0"/>
          <w:divBdr>
            <w:top w:val="none" w:sz="0" w:space="0" w:color="auto"/>
            <w:left w:val="none" w:sz="0" w:space="0" w:color="auto"/>
            <w:bottom w:val="none" w:sz="0" w:space="0" w:color="auto"/>
            <w:right w:val="none" w:sz="0" w:space="0" w:color="auto"/>
          </w:divBdr>
          <w:divsChild>
            <w:div w:id="1219510177">
              <w:marLeft w:val="0"/>
              <w:marRight w:val="0"/>
              <w:marTop w:val="0"/>
              <w:marBottom w:val="0"/>
              <w:divBdr>
                <w:top w:val="none" w:sz="0" w:space="0" w:color="auto"/>
                <w:left w:val="none" w:sz="0" w:space="0" w:color="auto"/>
                <w:bottom w:val="none" w:sz="0" w:space="0" w:color="auto"/>
                <w:right w:val="none" w:sz="0" w:space="0" w:color="auto"/>
              </w:divBdr>
              <w:divsChild>
                <w:div w:id="923801407">
                  <w:marLeft w:val="0"/>
                  <w:marRight w:val="0"/>
                  <w:marTop w:val="0"/>
                  <w:marBottom w:val="0"/>
                  <w:divBdr>
                    <w:top w:val="none" w:sz="0" w:space="0" w:color="auto"/>
                    <w:left w:val="none" w:sz="0" w:space="0" w:color="auto"/>
                    <w:bottom w:val="none" w:sz="0" w:space="0" w:color="auto"/>
                    <w:right w:val="none" w:sz="0" w:space="0" w:color="auto"/>
                  </w:divBdr>
                  <w:divsChild>
                    <w:div w:id="1636909616">
                      <w:marLeft w:val="0"/>
                      <w:marRight w:val="0"/>
                      <w:marTop w:val="0"/>
                      <w:marBottom w:val="0"/>
                      <w:divBdr>
                        <w:top w:val="none" w:sz="0" w:space="0" w:color="auto"/>
                        <w:left w:val="none" w:sz="0" w:space="0" w:color="auto"/>
                        <w:bottom w:val="none" w:sz="0" w:space="0" w:color="auto"/>
                        <w:right w:val="none" w:sz="0" w:space="0" w:color="auto"/>
                      </w:divBdr>
                      <w:divsChild>
                        <w:div w:id="111830186">
                          <w:marLeft w:val="0"/>
                          <w:marRight w:val="105"/>
                          <w:marTop w:val="0"/>
                          <w:marBottom w:val="0"/>
                          <w:divBdr>
                            <w:top w:val="single" w:sz="6" w:space="15" w:color="D9D9D9"/>
                            <w:left w:val="single" w:sz="6" w:space="8" w:color="D9D9D9"/>
                            <w:bottom w:val="single" w:sz="6" w:space="15" w:color="D9D9D9"/>
                            <w:right w:val="single" w:sz="6" w:space="8" w:color="D9D9D9"/>
                          </w:divBdr>
                          <w:divsChild>
                            <w:div w:id="1461219993">
                              <w:marLeft w:val="0"/>
                              <w:marRight w:val="0"/>
                              <w:marTop w:val="0"/>
                              <w:marBottom w:val="0"/>
                              <w:divBdr>
                                <w:top w:val="none" w:sz="0" w:space="0" w:color="auto"/>
                                <w:left w:val="none" w:sz="0" w:space="0" w:color="auto"/>
                                <w:bottom w:val="none" w:sz="0" w:space="0" w:color="auto"/>
                                <w:right w:val="none" w:sz="0" w:space="0" w:color="auto"/>
                              </w:divBdr>
                              <w:divsChild>
                                <w:div w:id="1173253583">
                                  <w:marLeft w:val="0"/>
                                  <w:marRight w:val="0"/>
                                  <w:marTop w:val="0"/>
                                  <w:marBottom w:val="0"/>
                                  <w:divBdr>
                                    <w:top w:val="none" w:sz="0" w:space="0" w:color="auto"/>
                                    <w:left w:val="none" w:sz="0" w:space="0" w:color="auto"/>
                                    <w:bottom w:val="none" w:sz="0" w:space="0" w:color="auto"/>
                                    <w:right w:val="none" w:sz="0" w:space="0" w:color="auto"/>
                                  </w:divBdr>
                                  <w:divsChild>
                                    <w:div w:id="1874686643">
                                      <w:marLeft w:val="0"/>
                                      <w:marRight w:val="0"/>
                                      <w:marTop w:val="0"/>
                                      <w:marBottom w:val="0"/>
                                      <w:divBdr>
                                        <w:top w:val="none" w:sz="0" w:space="0" w:color="auto"/>
                                        <w:left w:val="none" w:sz="0" w:space="0" w:color="auto"/>
                                        <w:bottom w:val="none" w:sz="0" w:space="0" w:color="auto"/>
                                        <w:right w:val="none" w:sz="0" w:space="0" w:color="auto"/>
                                      </w:divBdr>
                                    </w:div>
                                    <w:div w:id="144488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2419</Words>
  <Characters>13793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The British Geological Survey</Company>
  <LinksUpToDate>false</LinksUpToDate>
  <CharactersWithSpaces>16180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 Lorraine P.</dc:creator>
  <cp:keywords/>
  <dc:description/>
  <cp:lastModifiedBy>Helen Floyd-Walker</cp:lastModifiedBy>
  <cp:revision>2</cp:revision>
  <cp:lastPrinted>2018-03-27T15:33:00Z</cp:lastPrinted>
  <dcterms:created xsi:type="dcterms:W3CDTF">2018-10-29T12:40:00Z</dcterms:created>
  <dcterms:modified xsi:type="dcterms:W3CDTF">2018-10-29T12:40:00Z</dcterms:modified>
</cp:coreProperties>
</file>